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800"/>
      </w:pPr>
      <w:r>
        <w:rPr>
          <w:b/>
          <w:bCs/>
          <w:color w:val="2E75B6"/>
          <w:sz w:val="26"/>
          <w:szCs w:val="26"/>
        </w:rPr>
        <w:t xml:space="preserve">FCC OET — Experimental Licensing System</w:t>
      </w:r>
    </w:p>
    <w:p>
      <w:pPr>
        <w:spacing w:after="0" w:before="120"/>
      </w:pPr>
      <w:r>
        <w:rPr>
          <w:b/>
          <w:bCs/>
          <w:color w:val="1F3864"/>
          <w:sz w:val="60"/>
          <w:szCs w:val="60"/>
        </w:rPr>
        <w:t xml:space="preserve">Zendesk Build-Out</w:t>
      </w:r>
    </w:p>
    <w:p>
      <w:pPr>
        <w:spacing w:after="0" w:before="80"/>
      </w:pPr>
      <w:r>
        <w:rPr>
          <w:color w:val="1F3864"/>
          <w:sz w:val="40"/>
          <w:szCs w:val="40"/>
        </w:rPr>
        <w:t xml:space="preserve">Design &amp; Setup Blueprint</w:t>
      </w:r>
    </w:p>
    <w:p>
      <w:pPr>
        <w:pBdr>
          <w:bottom w:val="single" w:color="2E75B6" w:sz="12" w:space="8"/>
        </w:pBdr>
        <w:spacing w:after="0" w:before="200"/>
      </w:pPr>
    </w:p>
    <w:p>
      <w:pPr>
        <w:spacing w:after="0" w:before="280"/>
      </w:pPr>
      <w:r>
        <w:rPr>
          <w:color w:val="555555"/>
          <w:sz w:val="24"/>
          <w:szCs w:val="24"/>
        </w:rPr>
        <w:t xml:space="preserve">A practical plan for turning your daily SQL export, your CRUD review workflow, and three</w:t>
      </w:r>
    </w:p>
    <w:p>
      <w:pPr>
        <w:spacing w:after="0"/>
      </w:pPr>
      <w:r>
        <w:rPr>
          <w:color w:val="555555"/>
          <w:sz w:val="24"/>
          <w:szCs w:val="24"/>
        </w:rPr>
        <w:t xml:space="preserve">email inboxes into one tracked queue — without becoming “yet another system to log into.”</w:t>
      </w:r>
    </w:p>
    <w:p>
      <w:pPr>
        <w:spacing w:after="0" w:before="1400"/>
      </w:pPr>
      <w:r>
        <w:rPr>
          <w:b/>
          <w:bCs/>
          <w:sz w:val="22"/>
          <w:szCs w:val="22"/>
        </w:rPr>
        <w:t xml:space="preserve">Prepared for: OET Experimental Licensing Branch</w:t>
      </w:r>
    </w:p>
    <w:p>
      <w:pPr>
        <w:spacing w:after="0"/>
      </w:pPr>
      <w:r>
        <w:rPr>
          <w:sz w:val="22"/>
          <w:szCs w:val="22"/>
        </w:rPr>
        <w:t xml:space="preserve">Audience: Internal review team + integration owner (sandbox preview)</w:t>
      </w:r>
    </w:p>
    <w:p>
      <w:pPr>
        <w:spacing w:after="0"/>
      </w:pPr>
      <w:r>
        <w:rPr>
          <w:sz w:val="22"/>
          <w:szCs w:val="22"/>
        </w:rPr>
        <w:t xml:space="preserve">Date: June 7, 2026</w:t>
      </w:r>
    </w:p>
    <w:p>
      <w:pPr>
        <w:spacing w:after="0"/>
      </w:pPr>
      <w:r>
        <w:rPr>
          <w:i/>
          <w:iCs/>
          <w:color w:val="777777"/>
          <w:sz w:val="22"/>
          <w:szCs w:val="22"/>
        </w:rPr>
        <w:t xml:space="preserve">Status: Sandbox design — for team review</w:t>
      </w:r>
    </w:p>
    <w:p>
      <w:r>
        <w:br w:type="page"/>
      </w:r>
    </w:p>
    <w:p>
      <w:pPr>
        <w:pStyle w:val="Heading1"/>
      </w:pPr>
      <w:r>
        <w:t xml:space="preserve">Contents</w:t>
      </w:r>
    </w:p>
    <w:sdt>
      <w:sdtPr>
        <w:alias w:val="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How to read this document</w:t>
      </w:r>
    </w:p>
    <w:p>
      <w:pPr>
        <w:spacing w:after="140" w:line="276"/>
      </w:pPr>
      <w:r>
        <w:t xml:space="preserve">You told me four things that shape everything below: you want a </w:t>
      </w:r>
      <w:r>
        <w:rPr>
          <w:b/>
          <w:bCs/>
        </w:rPr>
        <w:t xml:space="preserve">design + setup blueprint</w:t>
      </w:r>
      <w:r>
        <w:t xml:space="preserve"> (not a live build yet); you want each application modeled as a </w:t>
      </w:r>
      <w:r>
        <w:rPr>
          <w:b/>
          <w:bCs/>
        </w:rPr>
        <w:t xml:space="preserve">parent ticket with one child ticket per Charge/Referral</w:t>
      </w:r>
      <w:r>
        <w:t xml:space="preserve">; you want me to recommend how external teams should interact; and you want the </w:t>
      </w:r>
      <w:r>
        <w:rPr>
          <w:b/>
          <w:bCs/>
        </w:rPr>
        <w:t xml:space="preserve">tradeoffs of each CSV-loading method</w:t>
      </w:r>
      <w:r>
        <w:t xml:space="preserve"> before wiring anything up. This document answers all four, in that order, and ends with a step-by-step sequence to stand up a previewable model in your sandbox.</w:t>
      </w:r>
    </w:p>
    <w:p>
      <w:pPr>
        <w:pBdr>
          <w:top w:val="single" w:color="2E75B6" w:sz="2" w:space="6"/>
          <w:left w:val="single" w:color="2E75B6" w:sz="12" w:space="6"/>
          <w:bottom w:val="single" w:color="2E75B6" w:sz="2" w:space="6"/>
          <w:right w:val="single" w:color="2E75B6" w:sz="2" w:space="6"/>
        </w:pBdr>
        <w:shd w:fill="D9E2F3" w:val="clear"/>
        <w:spacing w:after="160" w:before="60" w:line="268"/>
      </w:pPr>
      <w:r>
        <w:rPr>
          <w:b/>
          <w:bCs/>
          <w:color w:val="2E75B6"/>
        </w:rPr>
        <w:t xml:space="preserve">The core problem in one sentence:  </w:t>
      </w:r>
      <w:r>
        <w:t xml:space="preserve">today an application lives in ELS, its referrals live in email to external agencies, and inquiries arrive across three inboxes — so nothing is tracked end-to-end, and referrals “left with external agencies” quietly age out. Zendesk’s job is to be the one place where a File Number, all of its referrals, and every related inquiry sit together with a visible clock on each.</w:t>
      </w:r>
    </w:p>
    <w:p>
      <w:pPr>
        <w:spacing w:after="140" w:line="276"/>
      </w:pPr>
      <w:r>
        <w:t xml:space="preserve">This maps directly to your highest-scored pain points: </w:t>
      </w:r>
      <w:r>
        <w:rPr>
          <w:b/>
          <w:bCs/>
        </w:rPr>
        <w:t xml:space="preserve">#2 correspondence manually uploaded (19)</w:t>
      </w:r>
      <w:r>
        <w:t xml:space="preserve">, </w:t>
      </w:r>
      <w:r>
        <w:rPr>
          <w:b/>
          <w:bCs/>
        </w:rPr>
        <w:t xml:space="preserve">#5 show coordination status (14)</w:t>
      </w:r>
      <w:r>
        <w:t xml:space="preserve">, and </w:t>
      </w:r>
      <w:r>
        <w:rPr>
          <w:b/>
          <w:bCs/>
        </w:rPr>
        <w:t xml:space="preserve">#13 reporting on times (11)</w:t>
      </w:r>
      <w:r>
        <w:t xml:space="preserve"> — plus the dropped-ticket problem you described.</w:t>
      </w:r>
    </w:p>
    <w:p>
      <w:r>
        <w:br w:type="page"/>
      </w:r>
    </w:p>
    <w:p>
      <w:pPr>
        <w:pStyle w:val="Heading1"/>
      </w:pPr>
      <w:r>
        <w:t xml:space="preserve">1. How ELS concepts map to Zendesk objects</w:t>
      </w:r>
    </w:p>
    <w:p>
      <w:pPr>
        <w:spacing w:after="140" w:line="276"/>
      </w:pPr>
      <w:r>
        <w:t xml:space="preserve">Zendesk has a small vocabulary. Learn these five words and the rest of the design reads cleanly: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400"/>
        <w:gridCol w:w="3760"/>
      </w:tblGrid>
      <w:tr>
        <w:trPr>
          <w:tblHeader/>
        </w:trPr>
        <w:tc>
          <w:tcPr>
            <w:tcW w:type="dxa" w:w="22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Zendesk object</w:t>
            </w:r>
          </w:p>
        </w:tc>
        <w:tc>
          <w:tcPr>
            <w:tcW w:type="dxa" w:w="34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What it is</w:t>
            </w:r>
          </w:p>
        </w:tc>
        <w:tc>
          <w:tcPr>
            <w:tcW w:type="dxa" w:w="37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What it represents in ELS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End user (Requester)</w:t>
            </w:r>
          </w:p>
        </w:tc>
        <w:tc>
          <w:tcPr>
            <w:tcW w:type="dxa" w:w="3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person a ticket is about / from</w:t>
            </w:r>
          </w:p>
        </w:tc>
        <w:tc>
          <w:tcPr>
            <w:tcW w:type="dxa" w:w="37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applicant (Applicant Name + Applicant Email)</w:t>
            </w:r>
          </w:p>
        </w:tc>
      </w:tr>
      <w:tr>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Organization</w:t>
            </w:r>
          </w:p>
        </w:tc>
        <w:tc>
          <w:tcPr>
            <w:tcW w:type="dxa" w:w="3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 group end users or referrals belong to</w:t>
            </w:r>
          </w:p>
        </w:tc>
        <w:tc>
          <w:tcPr>
            <w:tcW w:type="dxa" w:w="37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Each external review body (FASC, WTB, Space Bureau, FAA, ATC, PSHSB, OIA) — and optionally each applicant company</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Ticket</w:t>
            </w:r>
          </w:p>
        </w:tc>
        <w:tc>
          <w:tcPr>
            <w:tcW w:type="dxa" w:w="3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One tracked unit of work with its own status, assignee, and clock</w:t>
            </w:r>
          </w:p>
        </w:tc>
        <w:tc>
          <w:tcPr>
            <w:tcW w:type="dxa" w:w="37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PARENT = one application (File Number). CHILD = one Charge/Referral</w:t>
            </w:r>
          </w:p>
        </w:tc>
      </w:tr>
      <w:tr>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Agent / Light agent</w:t>
            </w:r>
          </w:p>
        </w:tc>
        <w:tc>
          <w:tcPr>
            <w:tcW w:type="dxa" w:w="3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Internal staff who work tickets</w:t>
            </w:r>
          </w:p>
        </w:tc>
        <w:tc>
          <w:tcPr>
            <w:tcW w:type="dxa" w:w="37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Your review team (Assigned Team Member) and, optionally, external reviewers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Side conversation</w:t>
            </w:r>
          </w:p>
        </w:tc>
        <w:tc>
          <w:tcPr>
            <w:tcW w:type="dxa" w:w="3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 side thread off a ticket — can spawn a linked child ticket or send email</w:t>
            </w:r>
          </w:p>
        </w:tc>
        <w:tc>
          <w:tcPr>
            <w:tcW w:type="dxa" w:w="37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mechanism that turns each Charge into a child ticket AND emails the external team</w:t>
            </w:r>
          </w:p>
        </w:tc>
      </w:tr>
    </w:tbl>
    <w:p>
      <w:pPr>
        <w:spacing w:after="80"/>
      </w:pPr>
    </w:p>
    <w:p>
      <w:pPr>
        <w:pBdr>
          <w:top w:val="single" w:color="2E7D32" w:sz="2" w:space="6"/>
          <w:left w:val="single" w:color="2E7D32" w:sz="12" w:space="6"/>
          <w:bottom w:val="single" w:color="2E7D32" w:sz="2" w:space="6"/>
          <w:right w:val="single" w:color="2E7D32" w:sz="2" w:space="6"/>
        </w:pBdr>
        <w:shd w:fill="EDF2FA" w:val="clear"/>
        <w:spacing w:after="160" w:before="60" w:line="268"/>
      </w:pPr>
      <w:r>
        <w:rPr>
          <w:b/>
          <w:bCs/>
          <w:color w:val="2E7D32"/>
        </w:rPr>
        <w:t xml:space="preserve">Why this matters:  </w:t>
      </w:r>
      <w:r>
        <w:t xml:space="preserve">a single Zendesk feature — </w:t>
      </w:r>
      <w:r>
        <w:rPr>
          <w:b/>
          <w:bCs/>
        </w:rPr>
        <w:t xml:space="preserve">side-conversation child tickets</w:t>
      </w:r>
      <w:r>
        <w:t xml:space="preserve"> — simultaneously gives you the parent/child structure you asked for </w:t>
      </w:r>
      <w:r>
        <w:rPr>
          <w:b/>
          <w:bCs/>
        </w:rPr>
        <w:t xml:space="preserve">and</w:t>
      </w:r>
      <w:r>
        <w:t xml:space="preserve"> the no-login email path for external teams. One mechanism, both requirements. The rest of the build is configuration around it.</w:t>
      </w:r>
    </w:p>
    <w:p>
      <w:r>
        <w:br w:type="page"/>
      </w:r>
    </w:p>
    <w:p>
      <w:pPr>
        <w:pStyle w:val="Heading1"/>
      </w:pPr>
      <w:r>
        <w:t xml:space="preserve">2. The data model in detail</w:t>
      </w:r>
    </w:p>
    <w:p>
      <w:pPr>
        <w:pStyle w:val="Heading2"/>
      </w:pPr>
      <w:r>
        <w:t xml:space="preserve">2.1 The parent ticket = one File Number</w:t>
      </w:r>
    </w:p>
    <w:p>
      <w:pPr>
        <w:spacing w:after="140" w:line="276"/>
      </w:pPr>
      <w:r>
        <w:t xml:space="preserve">Every application becomes one parent ticket. The </w:t>
      </w:r>
      <w:r>
        <w:rPr>
          <w:b/>
          <w:bCs/>
        </w:rPr>
        <w:t xml:space="preserve">File Number</w:t>
      </w:r>
      <w:r>
        <w:t xml:space="preserve"> is the unique key that ties everything together — it goes in a dedicated custom field (not just the subject) so triggers, views, reports, and the daily sync can all match on it reliably.</w:t>
      </w:r>
    </w:p>
    <w:p>
      <w:pPr>
        <w:spacing w:after="140" w:line="276"/>
      </w:pPr>
      <w:r>
        <w:rPr>
          <w:b/>
          <w:bCs/>
        </w:rPr>
        <w:t xml:space="preserve">Recommended ticket subject convention: </w:t>
      </w:r>
      <w:r>
        <w:rPr>
          <w:rFonts w:ascii="Consolas" w:cs="Consolas" w:eastAsia="Consolas" w:hAnsi="Consolas"/>
          <w:sz w:val="19"/>
          <w:szCs w:val="19"/>
        </w:rPr>
        <w:t xml:space="preserve">[ELS-&lt;FileNumber&gt;] &lt;Applicant Name&gt; — &lt;Application Type&gt;</w:t>
      </w:r>
    </w:p>
    <w:p>
      <w:pPr>
        <w:spacing w:after="140" w:line="276"/>
      </w:pPr>
      <w:r>
        <w:t xml:space="preserve">Example: </w:t>
      </w:r>
      <w:r>
        <w:rPr>
          <w:rFonts w:ascii="Consolas" w:cs="Consolas" w:eastAsia="Consolas" w:hAnsi="Consolas"/>
          <w:sz w:val="19"/>
          <w:szCs w:val="19"/>
        </w:rPr>
        <w:t xml:space="preserve">[ELS-555877] Acme Robotics — Form 442 Conventional</w:t>
      </w:r>
    </w:p>
    <w:p>
      <w:pPr>
        <w:pStyle w:val="Heading2"/>
      </w:pPr>
      <w:r>
        <w:t xml:space="preserve">2.2 Child tickets = one per Charge / Referral</w:t>
      </w:r>
    </w:p>
    <w:p>
      <w:pPr>
        <w:spacing w:after="140" w:line="276"/>
      </w:pPr>
      <w:r>
        <w:t xml:space="preserve">Each Charge (Referral) on a File Number becomes a </w:t>
      </w:r>
      <w:r>
        <w:rPr>
          <w:b/>
          <w:bCs/>
        </w:rPr>
        <w:t xml:space="preserve">side-conversation child ticket</w:t>
      </w:r>
      <w:r>
        <w:t xml:space="preserve"> created from the parent. Per Zendesk’s design, when you create a child ticket this way the parent’s tags, followers, form, and field values are copied onto the child at creation, and public replies on the child flow back into the side conversation on the parent. That gives you: one clock per referral, independent status/assignee per external group, and a visible roll-up on the application.</w:t>
      </w:r>
    </w:p>
    <w:p>
      <w:pPr>
        <w:pBdr>
          <w:top w:val="single" w:color="C55A11" w:sz="2" w:space="6"/>
          <w:left w:val="single" w:color="C55A11" w:sz="12" w:space="6"/>
          <w:bottom w:val="single" w:color="C55A11" w:sz="2" w:space="6"/>
          <w:right w:val="single" w:color="C55A11" w:sz="2" w:space="6"/>
        </w:pBdr>
        <w:shd w:fill="FCE9D6" w:val="clear"/>
        <w:spacing w:after="160" w:before="60" w:line="268"/>
      </w:pPr>
      <w:r>
        <w:rPr>
          <w:b/>
          <w:bCs/>
          <w:color w:val="C55A11"/>
        </w:rPr>
        <w:t xml:space="preserve">Plan note:  </w:t>
      </w:r>
      <w:r>
        <w:t xml:space="preserve">Side conversations (and child tickets specifically) are a Zendesk Suite / Collaboration-add-on capability and must be turned on in Admin Center. Confirm your sandbox plan includes them before the build step — if not, the fallback is the free </w:t>
      </w:r>
      <w:r>
        <w:rPr>
          <w:b/>
          <w:bCs/>
        </w:rPr>
        <w:t xml:space="preserve">Linked Ticket app</w:t>
      </w:r>
      <w:r>
        <w:t xml:space="preserve"> (Section 5.3), which creates a manually linked child instead.</w:t>
      </w:r>
    </w:p>
    <w:p>
      <w:pPr>
        <w:pStyle w:val="Heading2"/>
      </w:pPr>
      <w:r>
        <w:t xml:space="preserve">2.3 Custom fields to create</w:t>
      </w:r>
    </w:p>
    <w:p>
      <w:pPr>
        <w:spacing w:after="140" w:line="276"/>
      </w:pPr>
      <w:r>
        <w:t xml:space="preserve">These are the fields the review team fills or the sync populates. Keep the set small at first — you can always add more.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1900"/>
        <w:gridCol w:w="4960"/>
      </w:tblGrid>
      <w:tr>
        <w:trPr>
          <w:tblHeader/>
        </w:trPr>
        <w:tc>
          <w:tcPr>
            <w:tcW w:type="dxa" w:w="25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Field (label)</w:t>
            </w:r>
          </w:p>
        </w:tc>
        <w:tc>
          <w:tcPr>
            <w:tcW w:type="dxa" w:w="19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Type</w:t>
            </w:r>
          </w:p>
        </w:tc>
        <w:tc>
          <w:tcPr>
            <w:tcW w:type="dxa" w:w="49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Used for</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File Number</w:t>
            </w:r>
          </w:p>
        </w:tc>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Text (unique key)</w:t>
            </w:r>
          </w:p>
        </w:tc>
        <w:tc>
          <w:tcPr>
            <w:tcW w:type="dxa" w:w="4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join key. On parent and copied to children. Drives association + dedupe.</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FRN</w:t>
            </w:r>
          </w:p>
        </w:tc>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Text</w:t>
            </w:r>
          </w:p>
        </w:tc>
        <w:tc>
          <w:tcPr>
            <w:tcW w:type="dxa" w:w="4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FCC Registration Number; cross-reference to CORES/ELS.</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Application Type</w:t>
            </w:r>
          </w:p>
        </w:tc>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Drop-down</w:t>
            </w:r>
          </w:p>
        </w:tc>
        <w:tc>
          <w:tcPr>
            <w:tcW w:type="dxa" w:w="4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STA / Form 442 / Form 405 / 702 / 703 / Other. Drives SLA and priority.</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Referral / Charge</w:t>
            </w:r>
          </w:p>
        </w:tc>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Drop-down</w:t>
            </w:r>
          </w:p>
        </w:tc>
        <w:tc>
          <w:tcPr>
            <w:tcW w:type="dxa" w:w="4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Which external body this child ticket is for (FASC, WTB, Space, FAA, ATC, PSHSB, OIA).</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Coordination status</w:t>
            </w:r>
          </w:p>
        </w:tc>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Drop-down</w:t>
            </w:r>
          </w:p>
        </w:tc>
        <w:tc>
          <w:tcPr>
            <w:tcW w:type="dxa" w:w="4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Awaiting referral / With external team / Returned / Cleared. Answers pain point #5.</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Priority flag</w:t>
            </w:r>
          </w:p>
        </w:tc>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Checkbox</w:t>
            </w:r>
          </w:p>
        </w:tc>
        <w:tc>
          <w:tcPr>
            <w:tcW w:type="dxa" w:w="4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Set from the CSV or by a reviewer; surfaces in dashboards and daily reports.</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Need-by / Expiration date</w:t>
            </w:r>
          </w:p>
        </w:tc>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Date</w:t>
            </w:r>
          </w:p>
        </w:tc>
        <w:tc>
          <w:tcPr>
            <w:tcW w:type="dxa" w:w="4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For renewals; powers the 90/60/30-day reminders you flagged.</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Assigned Team Member</w:t>
            </w:r>
          </w:p>
        </w:tc>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Drop-down or Assignee</w:t>
            </w:r>
          </w:p>
        </w:tc>
        <w:tc>
          <w:tcPr>
            <w:tcW w:type="dxa" w:w="4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Maps to the CSV column; can use native Assignee instead (see 2.4).</w:t>
            </w:r>
          </w:p>
        </w:tc>
      </w:tr>
    </w:tbl>
    <w:p>
      <w:pPr>
        <w:pStyle w:val="Heading2"/>
      </w:pPr>
      <w:r>
        <w:t xml:space="preserve">2.4 Organizations, groups, and tags</w:t>
      </w:r>
    </w:p>
    <w:p>
      <w:pPr>
        <w:pStyle w:val="ListParagraph"/>
        <w:numPr>
          <w:ilvl w:val="0"/>
          <w:numId w:val="2"/>
        </w:numPr>
        <w:spacing w:after="60" w:line="268"/>
      </w:pPr>
      <w:r>
        <w:rPr>
          <w:b/>
          <w:bCs/>
        </w:rPr>
        <w:t xml:space="preserve">Organizations — one per external review body.</w:t>
      </w:r>
      <w:r>
        <w:t xml:space="preserve"> Putting each referral child ticket into the right Organization is what lets you produce a clean per-agency daily report and route email automatically.</w:t>
      </w:r>
    </w:p>
    <w:p>
      <w:pPr>
        <w:pStyle w:val="ListParagraph"/>
        <w:numPr>
          <w:ilvl w:val="0"/>
          <w:numId w:val="2"/>
        </w:numPr>
        <w:spacing w:after="60" w:line="268"/>
      </w:pPr>
      <w:r>
        <w:rPr>
          <w:b/>
          <w:bCs/>
        </w:rPr>
        <w:t xml:space="preserve">Groups — internal review teams.</w:t>
      </w:r>
      <w:r>
        <w:t xml:space="preserve"> Zendesk groups hold your internal agents; use them for assignment and for the internal dashboard’s “by group” filter.</w:t>
      </w:r>
    </w:p>
    <w:p>
      <w:pPr>
        <w:pStyle w:val="ListParagraph"/>
        <w:numPr>
          <w:ilvl w:val="0"/>
          <w:numId w:val="2"/>
        </w:numPr>
        <w:spacing w:after="60" w:line="268"/>
      </w:pPr>
      <w:r>
        <w:rPr>
          <w:b/>
          <w:bCs/>
        </w:rPr>
        <w:t xml:space="preserve">Assignee — prefer the native Assignee field</w:t>
      </w:r>
      <w:r>
        <w:t xml:space="preserve"> for “Assigned Team Member” if those people are Zendesk agents; use a custom drop-down only if they are not licensed users.</w:t>
      </w:r>
    </w:p>
    <w:p>
      <w:pPr>
        <w:pStyle w:val="ListParagraph"/>
        <w:numPr>
          <w:ilvl w:val="0"/>
          <w:numId w:val="2"/>
        </w:numPr>
        <w:spacing w:after="60" w:line="268"/>
      </w:pPr>
      <w:r>
        <w:rPr>
          <w:b/>
          <w:bCs/>
        </w:rPr>
        <w:t xml:space="preserve">Tags — lightweight flags</w:t>
      </w:r>
      <w:r>
        <w:t xml:space="preserve"> such as </w:t>
      </w:r>
      <w:r>
        <w:rPr>
          <w:rFonts w:ascii="Consolas" w:cs="Consolas" w:eastAsia="Consolas" w:hAnsi="Consolas"/>
          <w:sz w:val="19"/>
          <w:szCs w:val="19"/>
        </w:rPr>
        <w:t xml:space="preserve">priority</w:t>
      </w:r>
      <w:r>
        <w:t xml:space="preserve">, </w:t>
      </w:r>
      <w:r>
        <w:rPr>
          <w:rFonts w:ascii="Consolas" w:cs="Consolas" w:eastAsia="Consolas" w:hAnsi="Consolas"/>
          <w:sz w:val="19"/>
          <w:szCs w:val="19"/>
        </w:rPr>
        <w:t xml:space="preserve">renewal</w:t>
      </w:r>
      <w:r>
        <w:t xml:space="preserve">, </w:t>
      </w:r>
      <w:r>
        <w:rPr>
          <w:rFonts w:ascii="Consolas" w:cs="Consolas" w:eastAsia="Consolas" w:hAnsi="Consolas"/>
          <w:sz w:val="19"/>
          <w:szCs w:val="19"/>
        </w:rPr>
        <w:t xml:space="preserve">precoord_required</w:t>
      </w:r>
      <w:r>
        <w:t xml:space="preserve"> that triggers and views key off.</w:t>
      </w:r>
    </w:p>
    <w:p>
      <w:r>
        <w:br w:type="page"/>
      </w:r>
    </w:p>
    <w:p>
      <w:pPr>
        <w:pStyle w:val="Heading1"/>
      </w:pPr>
      <w:r>
        <w:t xml:space="preserve">3. Associating inquiries that arrive from many places</w:t>
      </w:r>
    </w:p>
    <w:p>
      <w:pPr>
        <w:spacing w:after="140" w:line="276"/>
      </w:pPr>
      <w:r>
        <w:t xml:space="preserve">This is the heart of your “dropped tickets” problem. Inquiries arrive three ways — the shared inboxes (</w:t>
      </w:r>
      <w:r>
        <w:rPr>
          <w:rFonts w:ascii="Consolas" w:cs="Consolas" w:eastAsia="Consolas" w:hAnsi="Consolas"/>
          <w:sz w:val="19"/>
          <w:szCs w:val="19"/>
        </w:rPr>
        <w:t xml:space="preserve">oettech@fcc.gov</w:t>
      </w:r>
      <w:r>
        <w:t xml:space="preserve">, </w:t>
      </w:r>
      <w:r>
        <w:rPr>
          <w:rFonts w:ascii="Consolas" w:cs="Consolas" w:eastAsia="Consolas" w:hAnsi="Consolas"/>
          <w:sz w:val="19"/>
          <w:szCs w:val="19"/>
        </w:rPr>
        <w:t xml:space="preserve">Experimental@fcc.gov</w:t>
      </w:r>
      <w:r>
        <w:t xml:space="preserve">, </w:t>
      </w:r>
      <w:r>
        <w:rPr>
          <w:rFonts w:ascii="Consolas" w:cs="Consolas" w:eastAsia="Consolas" w:hAnsi="Consolas"/>
          <w:sz w:val="19"/>
          <w:szCs w:val="19"/>
        </w:rPr>
        <w:t xml:space="preserve">ELB@fcc.gov</w:t>
      </w:r>
      <w:r>
        <w:t xml:space="preserve">) and sometimes directly to a staffer — and today none of them are reliably tied to the application they’re about.</w:t>
      </w:r>
    </w:p>
    <w:p>
      <w:pPr>
        <w:pStyle w:val="Heading2"/>
      </w:pPr>
      <w:r>
        <w:t xml:space="preserve">3.1 Bring all three inboxes into one Zendesk</w:t>
      </w:r>
    </w:p>
    <w:p>
      <w:pPr>
        <w:spacing w:after="140" w:line="276"/>
      </w:pPr>
      <w:r>
        <w:t xml:space="preserve">Add each inbox as a </w:t>
      </w:r>
      <w:r>
        <w:rPr>
          <w:b/>
          <w:bCs/>
        </w:rPr>
        <w:t xml:space="preserve">support address</w:t>
      </w:r>
      <w:r>
        <w:t xml:space="preserve"> (forward/connect the mailbox to Zendesk). Every inbound email then becomes a ticket in one queue, and a trigger can route by the address it arrived at — so you stop having three separate places to watch.</w:t>
      </w:r>
    </w:p>
    <w:p>
      <w:pPr>
        <w:pStyle w:val="Heading2"/>
      </w:pPr>
      <w:r>
        <w:t xml:space="preserve">3.2 Tie an inquiry to its File Number (four mechanisms, in order)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4660"/>
        <w:gridCol w:w="2800"/>
      </w:tblGrid>
      <w:tr>
        <w:trPr>
          <w:tblHeader/>
        </w:trPr>
        <w:tc>
          <w:tcPr>
            <w:tcW w:type="dxa" w:w="19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Mechanism</w:t>
            </w:r>
          </w:p>
        </w:tc>
        <w:tc>
          <w:tcPr>
            <w:tcW w:type="dxa" w:w="46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How it works</w:t>
            </w:r>
          </w:p>
        </w:tc>
        <w:tc>
          <w:tcPr>
            <w:tcW w:type="dxa" w:w="28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When it fires</w:t>
            </w:r>
          </w:p>
        </w:tc>
      </w:tr>
      <w:tr>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Thread reply</w:t>
            </w:r>
          </w:p>
        </w:tc>
        <w:tc>
          <w:tcPr>
            <w:tcW w:type="dxa" w:w="46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If the applicant replies to a Zendesk email, the ticket ID in the headers/subject threads it back to the SAME ticket automatically.</w:t>
            </w:r>
          </w:p>
        </w:tc>
        <w:tc>
          <w:tcPr>
            <w:tcW w:type="dxa" w:w="28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Replies to our outbound mail — automatic, no work.</w:t>
            </w:r>
          </w:p>
        </w:tc>
      </w:tr>
      <w:tr>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Subject token</w:t>
            </w:r>
          </w:p>
        </w:tc>
        <w:tc>
          <w:tcPr>
            <w:tcW w:type="dxa" w:w="46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 trigger reads [ELS-#######] from the subject and writes it to the File Number field, then links/relates the inquiry to the application ticket.</w:t>
            </w:r>
          </w:p>
        </w:tc>
        <w:tc>
          <w:tcPr>
            <w:tcW w:type="dxa" w:w="28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Applicant quotes the file number — automatic.</w:t>
            </w:r>
          </w:p>
        </w:tc>
      </w:tr>
      <w:tr>
        <w:tc>
          <w:tcPr>
            <w:tcW w:type="dxa" w:w="19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Requester match</w:t>
            </w:r>
          </w:p>
        </w:tc>
        <w:tc>
          <w:tcPr>
            <w:tcW w:type="dxa" w:w="46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Tickets from the same applicant email surface together via the user’s ticket history and an “other tickets by requester” view.</w:t>
            </w:r>
          </w:p>
        </w:tc>
        <w:tc>
          <w:tcPr>
            <w:tcW w:type="dxa" w:w="28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Always available as a manual assist.</w:t>
            </w:r>
          </w:p>
        </w:tc>
      </w:tr>
      <w:tr>
        <w:tc>
          <w:tcPr>
            <w:tcW w:type="dxa" w:w="19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Agent link / merge</w:t>
            </w:r>
          </w:p>
        </w:tc>
        <w:tc>
          <w:tcPr>
            <w:tcW w:type="dxa" w:w="46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Reviewer links the inquiry to the application (related ticket) or merges duplicates. Use merge sparingly — it is one-way.</w:t>
            </w:r>
          </w:p>
        </w:tc>
        <w:tc>
          <w:tcPr>
            <w:tcW w:type="dxa" w:w="28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Edge cases the rules miss.</w:t>
            </w:r>
          </w:p>
        </w:tc>
      </w:tr>
    </w:tbl>
    <w:p>
      <w:pPr>
        <w:spacing w:after="80"/>
      </w:pPr>
    </w:p>
    <w:p>
      <w:pPr>
        <w:pBdr>
          <w:top w:val="single" w:color="2E75B6" w:sz="2" w:space="6"/>
          <w:left w:val="single" w:color="2E75B6" w:sz="12" w:space="6"/>
          <w:bottom w:val="single" w:color="2E75B6" w:sz="2" w:space="6"/>
          <w:right w:val="single" w:color="2E75B6" w:sz="2" w:space="6"/>
        </w:pBdr>
        <w:shd w:fill="D9E2F3" w:val="clear"/>
        <w:spacing w:after="160" w:before="60" w:line="268"/>
      </w:pPr>
      <w:r>
        <w:rPr>
          <w:b/>
          <w:bCs/>
          <w:color w:val="2E75B6"/>
        </w:rPr>
        <w:t xml:space="preserve">Recommendation:  </w:t>
      </w:r>
      <w:r>
        <w:t xml:space="preserve">put the </w:t>
      </w:r>
      <w:r>
        <w:rPr>
          <w:rFonts w:ascii="Consolas" w:cs="Consolas" w:eastAsia="Consolas" w:hAnsi="Consolas"/>
          <w:sz w:val="19"/>
          <w:szCs w:val="19"/>
        </w:rPr>
        <w:t xml:space="preserve">[ELS-#######]</w:t>
      </w:r>
      <w:r>
        <w:t xml:space="preserve"> token in the subject of every outbound email (it is a placeholder in your email templates). That single convention makes mechanisms 1 and 2 do almost all the association automatically, and gives staff an obvious thing to ask applicants to include. Reserve merge for true duplicates only.</w:t>
      </w:r>
    </w:p>
    <w:p>
      <w:pPr>
        <w:pStyle w:val="Heading2"/>
      </w:pPr>
      <w:r>
        <w:t xml:space="preserve">3.3 Correspondence back into the file (pain point #2)</w:t>
      </w:r>
    </w:p>
    <w:p>
      <w:pPr>
        <w:spacing w:after="140" w:line="276"/>
      </w:pPr>
      <w:r>
        <w:t xml:space="preserve">Because the inquiry is now a Zendesk ticket linked to the application, the full thread is captured automatically — no manual upload. For the “include in the file” step at the end, you export the ticket to PDF (Section 8). That is the mechanical fix for #2: correspondence stops being hand-carried between email, Zendesk, and ELS.</w:t>
      </w:r>
    </w:p>
    <w:p>
      <w:r>
        <w:br w:type="page"/>
      </w:r>
    </w:p>
    <w:p>
      <w:pPr>
        <w:pStyle w:val="Heading1"/>
      </w:pPr>
      <w:r>
        <w:t xml:space="preserve">4. How external review teams should interact — recommendation</w:t>
      </w:r>
    </w:p>
    <w:p>
      <w:pPr>
        <w:spacing w:after="140" w:line="276"/>
      </w:pPr>
      <w:r>
        <w:t xml:space="preserve">You asked me to recommend this one. My recommendation is </w:t>
      </w:r>
      <w:r>
        <w:rPr>
          <w:b/>
          <w:bCs/>
        </w:rPr>
        <w:t xml:space="preserve">email-first, with optional read access — never a forced login.</w:t>
      </w:r>
      <w:r>
        <w:t xml:space="preserve"> Concretely:</w:t>
      </w:r>
    </w:p>
    <w:p>
      <w:pPr>
        <w:pStyle w:val="ListParagraph"/>
        <w:numPr>
          <w:ilvl w:val="0"/>
          <w:numId w:val="3"/>
        </w:numPr>
        <w:spacing w:after="60" w:line="268"/>
      </w:pPr>
      <w:r>
        <w:rPr>
          <w:b/>
          <w:bCs/>
        </w:rPr>
        <w:t xml:space="preserve">Default = email-type side conversation (no login). </w:t>
      </w:r>
      <w:r>
        <w:t xml:space="preserve">When a Charge is routed, the child ticket is created and an email goes to the external team. They reply by email; the reply lands on the child ticket and rolls up to the application. They never see a Zendesk screen. This is the lowest-friction path and directly avoids your “another system to log into” fear for the people you have the least control over.</w:t>
      </w:r>
    </w:p>
    <w:p>
      <w:pPr>
        <w:pStyle w:val="ListParagraph"/>
        <w:numPr>
          <w:ilvl w:val="0"/>
          <w:numId w:val="3"/>
        </w:numPr>
        <w:spacing w:after="60" w:line="268"/>
      </w:pPr>
      <w:r>
        <w:rPr>
          <w:b/>
          <w:bCs/>
        </w:rPr>
        <w:t xml:space="preserve">Optional upgrade = free light-agent access </w:t>
      </w:r>
      <w:r>
        <w:t xml:space="preserve">for any external group that wants to see its own queue. Light agents do not consume a paid agent seat (Suite plans include a pool — e.g., Growth ~50, Professional ~100, Enterprise ~1000; confirm yours) and can read and add private comments but cannot be assigned as the solver. Offer it; do not require it.</w:t>
      </w:r>
    </w:p>
    <w:p>
      <w:pPr>
        <w:pStyle w:val="ListParagraph"/>
        <w:numPr>
          <w:ilvl w:val="0"/>
          <w:numId w:val="3"/>
        </w:numPr>
        <w:spacing w:after="60" w:line="268"/>
      </w:pPr>
      <w:r>
        <w:rPr>
          <w:b/>
          <w:bCs/>
        </w:rPr>
        <w:t xml:space="preserve">Always = the daily digest </w:t>
      </w:r>
      <w:r>
        <w:t xml:space="preserve">(Section 6) so even email-only teams get a single morning list of “here is everything sitting with you and how long it has been there.”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00"/>
        <w:gridCol w:w="1700"/>
        <w:gridCol w:w="2960"/>
        <w:gridCol w:w="2200"/>
      </w:tblGrid>
      <w:tr>
        <w:trPr>
          <w:tblHeader/>
        </w:trPr>
        <w:tc>
          <w:tcPr>
            <w:tcW w:type="dxa" w:w="25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Option</w:t>
            </w:r>
          </w:p>
        </w:tc>
        <w:tc>
          <w:tcPr>
            <w:tcW w:type="dxa" w:w="17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Login required?</w:t>
            </w:r>
          </w:p>
        </w:tc>
        <w:tc>
          <w:tcPr>
            <w:tcW w:type="dxa" w:w="29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Best for</w:t>
            </w:r>
          </w:p>
        </w:tc>
        <w:tc>
          <w:tcPr>
            <w:tcW w:type="dxa" w:w="22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Verdict</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Email side conversation</w:t>
            </w:r>
          </w:p>
        </w:tc>
        <w:tc>
          <w:tcPr>
            <w:tcW w:type="dxa" w:w="17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No</w:t>
            </w:r>
          </w:p>
        </w:tc>
        <w:tc>
          <w:tcPr>
            <w:tcW w:type="dxa" w:w="2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All external bodies, by default</w:t>
            </w:r>
          </w:p>
        </w:tc>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bCs/>
                <w:color w:val="2E7D32"/>
              </w:rPr>
              <w:t xml:space="preserve">Recommended default</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Light agent access</w:t>
            </w:r>
          </w:p>
        </w:tc>
        <w:tc>
          <w:tcPr>
            <w:tcW w:type="dxa" w:w="17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Yes (free seat)</w:t>
            </w:r>
          </w:p>
        </w:tc>
        <w:tc>
          <w:tcPr>
            <w:tcW w:type="dxa" w:w="2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Agencies that want self-serve visibility</w:t>
            </w:r>
          </w:p>
        </w:tc>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t xml:space="preserve">Offer as opt-in</w:t>
            </w:r>
          </w:p>
        </w:tc>
      </w:tr>
      <w:tr>
        <w:tc>
          <w:tcPr>
            <w:tcW w:type="dxa" w:w="25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Full agent seat</w:t>
            </w:r>
          </w:p>
        </w:tc>
        <w:tc>
          <w:tcPr>
            <w:tcW w:type="dxa" w:w="17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Yes (paid)</w:t>
            </w:r>
          </w:p>
        </w:tc>
        <w:tc>
          <w:tcPr>
            <w:tcW w:type="dxa" w:w="29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Not external teams</w:t>
            </w:r>
          </w:p>
        </w:tc>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color w:val="C55A11"/>
              </w:rPr>
              <w:t xml:space="preserve">Avoid</w:t>
            </w:r>
          </w:p>
        </w:tc>
      </w:tr>
      <w:tr>
        <w:tc>
          <w:tcPr>
            <w:tcW w:type="dxa" w:w="25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CC / follower</w:t>
            </w:r>
          </w:p>
        </w:tc>
        <w:tc>
          <w:tcPr>
            <w:tcW w:type="dxa" w:w="17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No</w:t>
            </w:r>
          </w:p>
        </w:tc>
        <w:tc>
          <w:tcPr>
            <w:tcW w:type="dxa" w:w="29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Keeping a named person in the loop</w:t>
            </w:r>
          </w:p>
        </w:tc>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t xml:space="preserve">Use alongside email</w:t>
            </w:r>
          </w:p>
        </w:tc>
      </w:tr>
    </w:tbl>
    <w:p>
      <w:r>
        <w:br w:type="page"/>
      </w:r>
    </w:p>
    <w:p>
      <w:pPr>
        <w:pStyle w:val="Heading1"/>
      </w:pPr>
      <w:r>
        <w:t xml:space="preserve">5. Keeping Zendesk from becoming “yet another login”</w:t>
      </w:r>
    </w:p>
    <w:p>
      <w:pPr>
        <w:spacing w:after="140" w:line="276"/>
      </w:pPr>
      <w:r>
        <w:t xml:space="preserve">This is a design risk, not a feature. The system only earns its place if it removes work rather than adding a tab. Five rules:</w:t>
      </w:r>
    </w:p>
    <w:p>
      <w:pPr>
        <w:pStyle w:val="ListParagraph"/>
        <w:numPr>
          <w:ilvl w:val="0"/>
          <w:numId w:val="2"/>
        </w:numPr>
        <w:spacing w:after="60" w:line="268"/>
      </w:pPr>
      <w:r>
        <w:rPr>
          <w:b/>
          <w:bCs/>
        </w:rPr>
        <w:t xml:space="preserve">One inbox, not three. </w:t>
      </w:r>
      <w:r>
        <w:t xml:space="preserve">Consolidating the three email addresses means staff watch Zendesk instead of three mailboxes — a net reduction in places to look.</w:t>
      </w:r>
    </w:p>
    <w:p>
      <w:pPr>
        <w:pStyle w:val="ListParagraph"/>
        <w:numPr>
          <w:ilvl w:val="0"/>
          <w:numId w:val="2"/>
        </w:numPr>
        <w:spacing w:after="60" w:line="268"/>
      </w:pPr>
      <w:r>
        <w:rPr>
          <w:b/>
          <w:bCs/>
        </w:rPr>
        <w:t xml:space="preserve">Email-driven for everyone external. </w:t>
      </w:r>
      <w:r>
        <w:t xml:space="preserve">No external party is ever asked to log in (Section 4).</w:t>
      </w:r>
    </w:p>
    <w:p>
      <w:pPr>
        <w:pStyle w:val="ListParagraph"/>
        <w:numPr>
          <w:ilvl w:val="0"/>
          <w:numId w:val="2"/>
        </w:numPr>
        <w:spacing w:after="60" w:line="268"/>
      </w:pPr>
      <w:r>
        <w:rPr>
          <w:b/>
          <w:bCs/>
        </w:rPr>
        <w:t xml:space="preserve">Don’t duplicate ELS. </w:t>
      </w:r>
      <w:r>
        <w:t xml:space="preserve">Zendesk tracks correspondence, referrals, and aging — the things ELS does badly. It does not re-key the application. The daily sync pulls the few fields needed; staff keep doing substantive review in ELS.</w:t>
      </w:r>
    </w:p>
    <w:p>
      <w:pPr>
        <w:pStyle w:val="ListParagraph"/>
        <w:numPr>
          <w:ilvl w:val="0"/>
          <w:numId w:val="2"/>
        </w:numPr>
        <w:spacing w:after="60" w:line="268"/>
      </w:pPr>
      <w:r>
        <w:rPr>
          <w:b/>
          <w:bCs/>
        </w:rPr>
        <w:t xml:space="preserve">Push, don’t pull. </w:t>
      </w:r>
      <w:r>
        <w:t xml:space="preserve">Dashboards and daily digests come to people. Nobody should have to log in to find out what is waiting on them.</w:t>
      </w:r>
    </w:p>
    <w:p>
      <w:pPr>
        <w:pStyle w:val="ListParagraph"/>
        <w:numPr>
          <w:ilvl w:val="0"/>
          <w:numId w:val="2"/>
        </w:numPr>
        <w:spacing w:after="60" w:line="268"/>
      </w:pPr>
      <w:r>
        <w:rPr>
          <w:b/>
          <w:bCs/>
        </w:rPr>
        <w:t xml:space="preserve">Start with one workflow. </w:t>
      </w:r>
      <w:r>
        <w:t xml:space="preserve">Stand up the referral-tracking + inquiry-association loop first. Add reminders, reporting polish, and apps once the team feels the time saved.</w:t>
      </w:r>
    </w:p>
    <w:p>
      <w:pPr>
        <w:pStyle w:val="Heading2"/>
      </w:pPr>
      <w:r>
        <w:t xml:space="preserve">5.1 The promise to the team (use this line in the preview)</w:t>
      </w:r>
    </w:p>
    <w:p>
      <w:pPr>
        <w:pBdr>
          <w:top w:val="single" w:color="2E75B6" w:sz="2" w:space="6"/>
          <w:left w:val="single" w:color="2E75B6" w:sz="12" w:space="6"/>
          <w:bottom w:val="single" w:color="2E75B6" w:sz="2" w:space="6"/>
          <w:right w:val="single" w:color="2E75B6" w:sz="2" w:space="6"/>
        </w:pBdr>
        <w:shd w:fill="EDF2FA" w:val="clear"/>
        <w:spacing w:after="160" w:before="60" w:line="268"/>
      </w:pPr>
      <w:r>
        <w:rPr>
          <w:b/>
          <w:bCs/>
          <w:color w:val="2E75B6"/>
        </w:rPr>
        <w:t xml:space="preserve">  </w:t>
      </w:r>
      <w:r>
        <w:rPr>
          <w:b/>
          <w:bCs/>
        </w:rPr>
        <w:t xml:space="preserve">“Zendesk is where a file’s referrals and emails live so nothing falls through the cracks. You will not re-enter applications, and external agencies will not have to log in. You will get a morning list instead of digging through three inboxes.”</w:t>
      </w:r>
    </w:p>
    <w:p>
      <w:pPr>
        <w:pStyle w:val="Heading2"/>
      </w:pPr>
      <w:r>
        <w:t xml:space="preserve">5.2 Government / security note (confirm before production)</w:t>
      </w:r>
    </w:p>
    <w:p>
      <w:pPr>
        <w:spacing w:after="140" w:line="276"/>
      </w:pPr>
      <w:r>
        <w:t xml:space="preserve">You are a federal office handling applicant PII (names, emails). Before moving beyond the sandbox, confirm with FCC IT/security whether you must use Zendesk’s government offering / an authorized environment and what the ATO/FedRAMP posture needs to be. This does not block the sandbox preview, but it is the gating item for go-live. Flagging it now so it is not a surprise later.</w:t>
      </w:r>
    </w:p>
    <w:p>
      <w:pPr>
        <w:pStyle w:val="Heading2"/>
      </w:pPr>
      <w:r>
        <w:t xml:space="preserve">5.3 Fallback if child tickets are not on your plan</w:t>
      </w:r>
    </w:p>
    <w:p>
      <w:pPr>
        <w:spacing w:after="140" w:line="276"/>
      </w:pPr>
      <w:r>
        <w:t xml:space="preserve">If your sandbox plan lacks side-conversation child tickets, use the free </w:t>
      </w:r>
      <w:r>
        <w:rPr>
          <w:b/>
          <w:bCs/>
        </w:rPr>
        <w:t xml:space="preserve">Linked Ticket app</w:t>
      </w:r>
      <w:r>
        <w:t xml:space="preserve"> to create and link a child ticket per Charge from the parent. Note its limitation: there is no automatic business rule to, say, close the parent when all children close — you track that with a view instead. The data model is otherwise identical.</w:t>
      </w:r>
    </w:p>
    <w:p>
      <w:r>
        <w:br w:type="page"/>
      </w:r>
    </w:p>
    <w:p>
      <w:pPr>
        <w:pStyle w:val="Heading1"/>
      </w:pPr>
      <w:r>
        <w:t xml:space="preserve">6. Daily reports out to external teams</w:t>
      </w:r>
    </w:p>
    <w:p>
      <w:pPr>
        <w:spacing w:after="140" w:line="276"/>
      </w:pPr>
      <w:r>
        <w:t xml:space="preserve">Goal: every external body gets one morning email listing what is pending with them and for how long, with priorities called out. Two ways to produce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3560"/>
        <w:gridCol w:w="1750"/>
        <w:gridCol w:w="1750"/>
      </w:tblGrid>
      <w:tr>
        <w:trPr>
          <w:tblHeader/>
        </w:trPr>
        <w:tc>
          <w:tcPr>
            <w:tcW w:type="dxa" w:w="23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Approach</w:t>
            </w:r>
          </w:p>
        </w:tc>
        <w:tc>
          <w:tcPr>
            <w:tcW w:type="dxa" w:w="35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How</w:t>
            </w:r>
          </w:p>
        </w:tc>
        <w:tc>
          <w:tcPr>
            <w:tcW w:type="dxa" w:w="175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Pros</w:t>
            </w:r>
          </w:p>
        </w:tc>
        <w:tc>
          <w:tcPr>
            <w:tcW w:type="dxa" w:w="175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Cons</w:t>
            </w:r>
          </w:p>
        </w:tc>
      </w:tr>
      <w:tr>
        <w:tc>
          <w:tcPr>
            <w:tcW w:type="dxa" w:w="23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Explore scheduled delivery</w:t>
            </w:r>
          </w:p>
        </w:tc>
        <w:tc>
          <w:tcPr>
            <w:tcW w:type="dxa" w:w="35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Build one Explore report (open child tickets, grouped by Organization, with age), schedule it to email each agency its filtered slice.</w:t>
            </w:r>
          </w:p>
        </w:tc>
        <w:tc>
          <w:tcPr>
            <w:tcW w:type="dxa" w:w="17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Native, no code, refreshes itself.</w:t>
            </w:r>
          </w:p>
        </w:tc>
        <w:tc>
          <w:tcPr>
            <w:tcW w:type="dxa" w:w="17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Needs Explore; per-recipient filtering takes setup; less layout control.</w:t>
            </w:r>
          </w:p>
        </w:tc>
      </w:tr>
      <w:tr>
        <w:tc>
          <w:tcPr>
            <w:tcW w:type="dxa" w:w="23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Scripted digest</w:t>
            </w:r>
          </w:p>
        </w:tc>
        <w:tc>
          <w:tcPr>
            <w:tcW w:type="dxa" w:w="35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 script queries the API each morning for open referrals per Organization and sends a formatted email per agency.</w:t>
            </w:r>
          </w:p>
        </w:tc>
        <w:tc>
          <w:tcPr>
            <w:tcW w:type="dxa" w:w="175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Full control of content, wording, priority highlighting; works with email-only teams.</w:t>
            </w:r>
          </w:p>
        </w:tc>
        <w:tc>
          <w:tcPr>
            <w:tcW w:type="dxa" w:w="175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You maintain the script; runs on a schedule you host.</w:t>
            </w:r>
          </w:p>
        </w:tc>
      </w:tr>
    </w:tbl>
    <w:p>
      <w:pPr>
        <w:spacing w:after="80"/>
      </w:pPr>
    </w:p>
    <w:p>
      <w:pPr>
        <w:spacing w:after="140" w:line="276"/>
      </w:pPr>
      <w:r>
        <w:rPr>
          <w:b/>
          <w:bCs/>
        </w:rPr>
        <w:t xml:space="preserve">Recommended: </w:t>
      </w:r>
      <w:r>
        <w:t xml:space="preserve">start with the scripted digest because it gives you exact control over the “aging + priority” framing and works even for agencies with no Zendesk access at all. Move to Explore scheduling later if you want it self-maintaining. Either way the content is the same:</w:t>
      </w:r>
    </w:p>
    <w:p>
      <w:pPr>
        <w:pStyle w:val="ListParagraph"/>
        <w:numPr>
          <w:ilvl w:val="0"/>
          <w:numId w:val="2"/>
        </w:numPr>
        <w:spacing w:after="60" w:line="268"/>
      </w:pPr>
      <w:r>
        <w:t xml:space="preserve">Referral (child ticket) ID and the File Number it belongs to</w:t>
      </w:r>
    </w:p>
    <w:p>
      <w:pPr>
        <w:pStyle w:val="ListParagraph"/>
        <w:numPr>
          <w:ilvl w:val="0"/>
          <w:numId w:val="2"/>
        </w:numPr>
        <w:spacing w:after="60" w:line="268"/>
      </w:pPr>
      <w:r>
        <w:t xml:space="preserve">Applicant + application type</w:t>
      </w:r>
    </w:p>
    <w:p>
      <w:pPr>
        <w:pStyle w:val="ListParagraph"/>
        <w:numPr>
          <w:ilvl w:val="0"/>
          <w:numId w:val="2"/>
        </w:numPr>
        <w:spacing w:after="60" w:line="268"/>
      </w:pPr>
      <w:r>
        <w:rPr>
          <w:b/>
          <w:bCs/>
        </w:rPr>
        <w:t xml:space="preserve">Days open with this team</w:t>
      </w:r>
      <w:r>
        <w:t xml:space="preserve"> (the clock that prevents drift)</w:t>
      </w:r>
    </w:p>
    <w:p>
      <w:pPr>
        <w:pStyle w:val="ListParagraph"/>
        <w:numPr>
          <w:ilvl w:val="0"/>
          <w:numId w:val="2"/>
        </w:numPr>
        <w:spacing w:after="60" w:line="268"/>
      </w:pPr>
      <w:r>
        <w:t xml:space="preserve">Priority flag, sorted to the top</w:t>
      </w:r>
    </w:p>
    <w:p>
      <w:pPr>
        <w:pStyle w:val="ListParagraph"/>
        <w:numPr>
          <w:ilvl w:val="0"/>
          <w:numId w:val="2"/>
        </w:numPr>
        <w:spacing w:after="60" w:line="268"/>
      </w:pPr>
      <w:r>
        <w:t xml:space="preserve">A reply-to that threads back onto the referral ticket</w:t>
      </w:r>
    </w:p>
    <w:p>
      <w:r>
        <w:br w:type="page"/>
      </w:r>
    </w:p>
    <w:p>
      <w:pPr>
        <w:pStyle w:val="Heading1"/>
      </w:pPr>
      <w:r>
        <w:t xml:space="preserve">7. The internal team dashboard</w:t>
      </w:r>
    </w:p>
    <w:p>
      <w:pPr>
        <w:spacing w:after="140" w:line="276"/>
      </w:pPr>
      <w:r>
        <w:t xml:space="preserve">Two layers, because not everyone needs Explore:</w:t>
      </w:r>
    </w:p>
    <w:p>
      <w:pPr>
        <w:pStyle w:val="Heading2"/>
      </w:pPr>
      <w:r>
        <w:t xml:space="preserve">7.1 Views (every agent, no extra license)</w:t>
      </w:r>
    </w:p>
    <w:p>
      <w:pPr>
        <w:spacing w:after="140" w:line="276"/>
      </w:pPr>
      <w:r>
        <w:t xml:space="preserve">Views are saved, shared, always-current ticket lists. Create a small set that becomes the team’s home screen: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4360"/>
        <w:gridCol w:w="2400"/>
      </w:tblGrid>
      <w:tr>
        <w:trPr>
          <w:tblHeader/>
        </w:trPr>
        <w:tc>
          <w:tcPr>
            <w:tcW w:type="dxa" w:w="26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View</w:t>
            </w:r>
          </w:p>
        </w:tc>
        <w:tc>
          <w:tcPr>
            <w:tcW w:type="dxa" w:w="43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Shows</w:t>
            </w:r>
          </w:p>
        </w:tc>
        <w:tc>
          <w:tcPr>
            <w:tcW w:type="dxa" w:w="24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Sort</w:t>
            </w:r>
          </w:p>
        </w:tc>
      </w:tr>
      <w:tr>
        <w:tc>
          <w:tcPr>
            <w:tcW w:type="dxa" w:w="2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My open applications</w:t>
            </w:r>
          </w:p>
        </w:tc>
        <w:tc>
          <w:tcPr>
            <w:tcW w:type="dxa" w:w="4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Parent tickets assigned to me, not solved</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Oldest update first</w:t>
            </w:r>
          </w:p>
        </w:tc>
      </w:tr>
      <w:tr>
        <w:tc>
          <w:tcPr>
            <w:tcW w:type="dxa" w:w="2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Referrals with external teams</w:t>
            </w:r>
          </w:p>
        </w:tc>
        <w:tc>
          <w:tcPr>
            <w:tcW w:type="dxa" w:w="4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Open child tickets, grouped by Organization</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Days open, descending</w:t>
            </w:r>
          </w:p>
        </w:tc>
      </w:tr>
      <w:tr>
        <w:tc>
          <w:tcPr>
            <w:tcW w:type="dxa" w:w="2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Aging &gt; 14 days</w:t>
            </w:r>
          </w:p>
        </w:tc>
        <w:tc>
          <w:tcPr>
            <w:tcW w:type="dxa" w:w="4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Anything (parent or child) untouched beyond threshold</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Age, descending</w:t>
            </w:r>
          </w:p>
        </w:tc>
      </w:tr>
      <w:tr>
        <w:tc>
          <w:tcPr>
            <w:tcW w:type="dxa" w:w="2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Priority</w:t>
            </w:r>
          </w:p>
        </w:tc>
        <w:tc>
          <w:tcPr>
            <w:tcW w:type="dxa" w:w="4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Anything tagged priority or flagged</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Age, descending</w:t>
            </w:r>
          </w:p>
        </w:tc>
      </w:tr>
      <w:tr>
        <w:tc>
          <w:tcPr>
            <w:tcW w:type="dxa" w:w="2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Unassociated inquiries</w:t>
            </w:r>
          </w:p>
        </w:tc>
        <w:tc>
          <w:tcPr>
            <w:tcW w:type="dxa" w:w="4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Email tickets with no File Number yet</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Newest first</w:t>
            </w:r>
          </w:p>
        </w:tc>
      </w:tr>
    </w:tbl>
    <w:p>
      <w:pPr>
        <w:pStyle w:val="Heading2"/>
      </w:pPr>
      <w:r>
        <w:t xml:space="preserve">7.2 Explore dashboard (leads / management)</w:t>
      </w:r>
    </w:p>
    <w:p>
      <w:pPr>
        <w:spacing w:after="140" w:line="276"/>
      </w:pPr>
      <w:r>
        <w:t xml:space="preserve">Explore’s </w:t>
      </w:r>
      <w:r>
        <w:rPr>
          <w:b/>
          <w:bCs/>
        </w:rPr>
        <w:t xml:space="preserve">Unsolved Tickets</w:t>
      </w:r>
      <w:r>
        <w:t xml:space="preserve"> tab and </w:t>
      </w:r>
      <w:r>
        <w:rPr>
          <w:b/>
          <w:bCs/>
        </w:rPr>
        <w:t xml:space="preserve">Backlog</w:t>
      </w:r>
      <w:r>
        <w:t xml:space="preserve"> dataset give you, out of the box, the management view you have never had — directly answering reporting pain point #13:</w:t>
      </w:r>
    </w:p>
    <w:p>
      <w:pPr>
        <w:pStyle w:val="ListParagraph"/>
        <w:numPr>
          <w:ilvl w:val="0"/>
          <w:numId w:val="2"/>
        </w:numPr>
        <w:spacing w:after="60" w:line="268"/>
      </w:pPr>
      <w:r>
        <w:rPr>
          <w:b/>
          <w:bCs/>
        </w:rPr>
        <w:t xml:space="preserve">Unsolved count</w:t>
      </w:r>
      <w:r>
        <w:t xml:space="preserve"> by group, assignee, priority, and application type</w:t>
      </w:r>
    </w:p>
    <w:p>
      <w:pPr>
        <w:pStyle w:val="ListParagraph"/>
        <w:numPr>
          <w:ilvl w:val="0"/>
          <w:numId w:val="2"/>
        </w:numPr>
        <w:spacing w:after="60" w:line="268"/>
      </w:pPr>
      <w:r>
        <w:rPr>
          <w:b/>
          <w:bCs/>
        </w:rPr>
        <w:t xml:space="preserve">Time-since-update median</w:t>
      </w:r>
      <w:r>
        <w:t xml:space="preserve"> — the “how long has it been sitting” metric</w:t>
      </w:r>
    </w:p>
    <w:p>
      <w:pPr>
        <w:pStyle w:val="ListParagraph"/>
        <w:numPr>
          <w:ilvl w:val="0"/>
          <w:numId w:val="2"/>
        </w:numPr>
        <w:spacing w:after="60" w:line="268"/>
      </w:pPr>
      <w:r>
        <w:rPr>
          <w:b/>
          <w:bCs/>
        </w:rPr>
        <w:t xml:space="preserve">Backlog over time</w:t>
      </w:r>
      <w:r>
        <w:t xml:space="preserve"> — is the 570+ pending pile growing or shrinking</w:t>
      </w:r>
    </w:p>
    <w:p>
      <w:pPr>
        <w:pStyle w:val="ListParagraph"/>
        <w:numPr>
          <w:ilvl w:val="0"/>
          <w:numId w:val="2"/>
        </w:numPr>
        <w:spacing w:after="60" w:line="268"/>
      </w:pPr>
      <w:r>
        <w:rPr>
          <w:b/>
          <w:bCs/>
        </w:rPr>
        <w:t xml:space="preserve">Tickets unsolved more than N days</w:t>
      </w:r>
      <w:r>
        <w:t xml:space="preserve"> — a standard Explore recipe; point it at referrals to catch drift with external agencies</w:t>
      </w:r>
    </w:p>
    <w:p>
      <w:pPr>
        <w:pStyle w:val="ListParagraph"/>
        <w:numPr>
          <w:ilvl w:val="0"/>
          <w:numId w:val="2"/>
        </w:numPr>
        <w:spacing w:after="60" w:line="268"/>
      </w:pPr>
      <w:r>
        <w:rPr>
          <w:b/>
          <w:bCs/>
        </w:rPr>
        <w:t xml:space="preserve">Median time by Referral/Organization and by frequency/type</w:t>
      </w:r>
      <w:r>
        <w:t xml:space="preserve"> — mirrors your routing-map medians (FASC 17d, OIA 30d, etc.)</w:t>
      </w:r>
    </w:p>
    <w:p>
      <w:r>
        <w:br w:type="page"/>
      </w:r>
    </w:p>
    <w:p>
      <w:pPr>
        <w:pStyle w:val="Heading1"/>
      </w:pPr>
      <w:r>
        <w:t xml:space="preserve">8. Aging, priority, and PDF export</w:t>
      </w:r>
    </w:p>
    <w:p>
      <w:pPr>
        <w:pStyle w:val="Heading2"/>
      </w:pPr>
      <w:r>
        <w:t xml:space="preserve">8.1 The clock (“for how long”)</w:t>
      </w:r>
    </w:p>
    <w:p>
      <w:pPr>
        <w:spacing w:after="140" w:line="276"/>
      </w:pPr>
      <w:r>
        <w:t xml:space="preserve">Two complementary tools. Use </w:t>
      </w:r>
      <w:r>
        <w:rPr>
          <w:b/>
          <w:bCs/>
        </w:rPr>
        <w:t xml:space="preserve">SLA policies</w:t>
      </w:r>
      <w:r>
        <w:t xml:space="preserve"> to set targets (e.g., a referral should not sit &gt; 14 business days with an external team) so breaches surface automatically and turn red. Use the </w:t>
      </w:r>
      <w:r>
        <w:rPr>
          <w:b/>
          <w:bCs/>
        </w:rPr>
        <w:t xml:space="preserve">age / time-since-update</w:t>
      </w:r>
      <w:r>
        <w:t xml:space="preserve"> metrics in views and Explore to see the actual elapsed time. Configure business-hours schedules so weekends don’t inflate the clock.</w:t>
      </w:r>
    </w:p>
    <w:p>
      <w:pPr>
        <w:pStyle w:val="Heading2"/>
      </w:pPr>
      <w:r>
        <w:t xml:space="preserve">8.2 Priority</w:t>
      </w:r>
    </w:p>
    <w:p>
      <w:pPr>
        <w:spacing w:after="140" w:line="276"/>
      </w:pPr>
      <w:r>
        <w:t xml:space="preserve">Set priority from the CSV </w:t>
      </w:r>
      <w:r>
        <w:rPr>
          <w:rFonts w:ascii="Consolas" w:cs="Consolas" w:eastAsia="Consolas" w:hAnsi="Consolas"/>
          <w:sz w:val="19"/>
          <w:szCs w:val="19"/>
        </w:rPr>
        <w:t xml:space="preserve">Priority flag</w:t>
      </w:r>
      <w:r>
        <w:t xml:space="preserve"> on import, and let reviewers raise it manually. A trigger can auto-escalate priority when an SLA target is breached, so old referrals climb the list without anyone watching.</w:t>
      </w:r>
    </w:p>
    <w:p>
      <w:pPr>
        <w:pStyle w:val="Heading2"/>
      </w:pPr>
      <w:r>
        <w:t xml:space="preserve">8.3 Exporting the full ticket to PDF for the file</w:t>
      </w:r>
    </w:p>
    <w:p>
      <w:pPr>
        <w:spacing w:after="140" w:line="276"/>
      </w:pPr>
      <w:r>
        <w:t xml:space="preserve">Three options, pick by how often you need it: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760"/>
        <w:gridCol w:w="2400"/>
      </w:tblGrid>
      <w:tr>
        <w:trPr>
          <w:tblHeader/>
        </w:trPr>
        <w:tc>
          <w:tcPr>
            <w:tcW w:type="dxa" w:w="22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Option</w:t>
            </w:r>
          </w:p>
        </w:tc>
        <w:tc>
          <w:tcPr>
            <w:tcW w:type="dxa" w:w="47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What you get</w:t>
            </w:r>
          </w:p>
        </w:tc>
        <w:tc>
          <w:tcPr>
            <w:tcW w:type="dxa" w:w="24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Best when</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Native Print ticket</w:t>
            </w:r>
          </w:p>
        </w:tc>
        <w:tc>
          <w:tcPr>
            <w:tcW w:type="dxa" w:w="47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Open ticket → Ticket options → Print; include internal notes + side conversations, then Print-to-PDF. Free, built in.</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Occasional, one ticket at a time.</w:t>
            </w:r>
          </w:p>
        </w:tc>
      </w:tr>
      <w:tr>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Marketplace PDF app</w:t>
            </w:r>
          </w:p>
        </w:tc>
        <w:tc>
          <w:tcPr>
            <w:tcW w:type="dxa" w:w="47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One-click ticket→PDF from the sidebar, with metadata, public + internal comments, side conversations, attachments; some support bulk. (e.g., free “PDF Export / Download for Tickets”.)</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Regular, clean, shareable exports.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API export</w:t>
            </w:r>
          </w:p>
        </w:tc>
        <w:tc>
          <w:tcPr>
            <w:tcW w:type="dxa" w:w="47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Script pulls the ticket + comments and renders a standardized PDF for the official file.</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Automated, consistent file-of-record output.</w:t>
            </w:r>
          </w:p>
        </w:tc>
      </w:tr>
    </w:tbl>
    <w:p>
      <w:pPr>
        <w:spacing w:after="80"/>
      </w:pPr>
    </w:p>
    <w:p>
      <w:pPr>
        <w:pBdr>
          <w:top w:val="single" w:color="C55A11" w:sz="2" w:space="6"/>
          <w:left w:val="single" w:color="C55A11" w:sz="12" w:space="6"/>
          <w:bottom w:val="single" w:color="C55A11" w:sz="2" w:space="6"/>
          <w:right w:val="single" w:color="C55A11" w:sz="2" w:space="6"/>
        </w:pBdr>
        <w:shd w:fill="FCE9D6" w:val="clear"/>
        <w:spacing w:after="160" w:before="60" w:line="268"/>
      </w:pPr>
      <w:r>
        <w:rPr>
          <w:b/>
          <w:bCs/>
          <w:color w:val="C55A11"/>
        </w:rPr>
        <w:t xml:space="preserve">Note:  </w:t>
      </w:r>
      <w:r>
        <w:t xml:space="preserve">native printing covers one ticket at a time (bulk printing is not built in). Because your referrals are child tickets, decide whether the “file” PDF should be the parent with side conversations shown, or the parent plus each child exported — the marketplace apps and the API option can include side conversations / linked children; confirm scope when you pick one.</w:t>
      </w:r>
    </w:p>
    <w:p>
      <w:r>
        <w:br w:type="page"/>
      </w:r>
    </w:p>
    <w:p>
      <w:pPr>
        <w:pStyle w:val="Heading1"/>
      </w:pPr>
      <w:r>
        <w:t xml:space="preserve">9. Loading the daily CSV — options and tradeoffs</w:t>
      </w:r>
    </w:p>
    <w:p>
      <w:pPr>
        <w:pBdr>
          <w:top w:val="single" w:color="C55A11" w:sz="2" w:space="6"/>
          <w:left w:val="single" w:color="C55A11" w:sz="12" w:space="6"/>
          <w:bottom w:val="single" w:color="C55A11" w:sz="2" w:space="6"/>
          <w:right w:val="single" w:color="C55A11" w:sz="2" w:space="6"/>
        </w:pBdr>
        <w:shd w:fill="FCE9D6" w:val="clear"/>
        <w:spacing w:after="160" w:before="60" w:line="268"/>
      </w:pPr>
      <w:r>
        <w:rPr>
          <w:b/>
          <w:bCs/>
          <w:color w:val="C55A11"/>
        </w:rPr>
        <w:t xml:space="preserve">Decisive technical fact:  </w:t>
      </w:r>
      <w:r>
        <w:t xml:space="preserve">Zendesk’s </w:t>
      </w:r>
      <w:r>
        <w:rPr>
          <w:b/>
          <w:bCs/>
        </w:rPr>
        <w:t xml:space="preserve">native CSV import does not create tickets</w:t>
      </w:r>
      <w:r>
        <w:t xml:space="preserve"> — it only imports </w:t>
      </w:r>
      <w:r>
        <w:rPr>
          <w:b/>
          <w:bCs/>
        </w:rPr>
        <w:t xml:space="preserve">users and organizations</w:t>
      </w:r>
      <w:r>
        <w:t xml:space="preserve">. Tickets must be created through the REST API. That single constraint rules out “just import the CSV” for your application tickets and points to a scripted sync. (You </w:t>
      </w:r>
      <w:r>
        <w:rPr>
          <w:b/>
          <w:bCs/>
        </w:rPr>
        <w:t xml:space="preserve">can</w:t>
      </w:r>
      <w:r>
        <w:t xml:space="preserve"> still use native CSV import to pre-load applicants as users and external bodies as organizations.)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60"/>
        <w:gridCol w:w="1750"/>
        <w:gridCol w:w="1850"/>
      </w:tblGrid>
      <w:tr>
        <w:trPr>
          <w:tblHeader/>
        </w:trPr>
        <w:tc>
          <w:tcPr>
            <w:tcW w:type="dxa" w:w="22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Option</w:t>
            </w:r>
          </w:p>
        </w:tc>
        <w:tc>
          <w:tcPr>
            <w:tcW w:type="dxa" w:w="35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How</w:t>
            </w:r>
          </w:p>
        </w:tc>
        <w:tc>
          <w:tcPr>
            <w:tcW w:type="dxa" w:w="175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Pros</w:t>
            </w:r>
          </w:p>
        </w:tc>
        <w:tc>
          <w:tcPr>
            <w:tcW w:type="dxa" w:w="185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Cons / verdict</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 API sync script (recommended)</w:t>
            </w:r>
          </w:p>
        </w:tc>
        <w:tc>
          <w:tcPr>
            <w:tcW w:type="dxa" w:w="35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Scheduled script reads the daily CSV and upserts: one parent ticket per File Number, one child per Charge, keyed on the File Number field so re-runs update rather than duplicate.</w:t>
            </w:r>
          </w:p>
        </w:tc>
        <w:tc>
          <w:tcPr>
            <w:tcW w:type="dxa" w:w="17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Idempotent; builds the parent/child structure; updates assignee/priority; handles many charges per file; the only path that creates tickets.</w:t>
            </w:r>
          </w:p>
        </w:tc>
        <w:tc>
          <w:tcPr>
            <w:tcW w:type="dxa" w:w="18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You build and host it. This is the right answer.</w:t>
            </w:r>
          </w:p>
        </w:tc>
      </w:tr>
      <w:tr>
        <w:tc>
          <w:tcPr>
            <w:tcW w:type="dxa" w:w="22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B. Native CSV import</w:t>
            </w:r>
          </w:p>
        </w:tc>
        <w:tc>
          <w:tcPr>
            <w:tcW w:type="dxa" w:w="35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Admin Center data importer.</w:t>
            </w:r>
          </w:p>
        </w:tc>
        <w:tc>
          <w:tcPr>
            <w:tcW w:type="dxa" w:w="175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Zero code; fine for users/orgs.</w:t>
            </w:r>
          </w:p>
        </w:tc>
        <w:tc>
          <w:tcPr>
            <w:tcW w:type="dxa" w:w="185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Cannot create tickets. Use only to seed applicants/agencies, not applications.</w:t>
            </w:r>
          </w:p>
        </w:tc>
      </w:tr>
      <w:tr>
        <w:tc>
          <w:tcPr>
            <w:tcW w:type="dxa" w:w="22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 iPaaS (Zapier / Make)</w:t>
            </w:r>
          </w:p>
        </w:tc>
        <w:tc>
          <w:tcPr>
            <w:tcW w:type="dxa" w:w="35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 no/low-code flow watches the folder or a mailbox and calls the Zendesk API per row.</w:t>
            </w:r>
          </w:p>
        </w:tc>
        <w:tc>
          <w:tcPr>
            <w:tcW w:type="dxa" w:w="17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Less code; visual; schedulable.</w:t>
            </w:r>
          </w:p>
        </w:tc>
        <w:tc>
          <w:tcPr>
            <w:tcW w:type="dxa" w:w="185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Harder to express parent/child + idempotent upsert cleanly; per-task cost; another tool to govern.</w:t>
            </w:r>
          </w:p>
        </w:tc>
      </w:tr>
    </w:tbl>
    <w:p>
      <w:pPr>
        <w:spacing w:after="80"/>
      </w:pPr>
    </w:p>
    <w:p>
      <w:pPr>
        <w:pStyle w:val="Heading2"/>
      </w:pPr>
      <w:r>
        <w:t xml:space="preserve">9.1 The upsert logic the script should follow</w:t>
      </w:r>
    </w:p>
    <w:p>
      <w:pPr>
        <w:spacing w:after="140" w:line="276"/>
      </w:pPr>
      <w:r>
        <w:t xml:space="preserve">This is the algorithm, independent of language, so whoever builds it has the contract:</w:t>
      </w:r>
    </w:p>
    <w:p>
      <w:pPr>
        <w:pStyle w:val="ListParagraph"/>
        <w:numPr>
          <w:ilvl w:val="0"/>
          <w:numId w:val="4"/>
        </w:numPr>
        <w:spacing w:after="60" w:line="268"/>
      </w:pPr>
      <w:r>
        <w:t xml:space="preserve">For each row, read File Number, Applicant Name, Applicant Email, Assigned Team Member, and the list of Charges.</w:t>
      </w:r>
    </w:p>
    <w:p>
      <w:pPr>
        <w:pStyle w:val="ListParagraph"/>
        <w:numPr>
          <w:ilvl w:val="0"/>
          <w:numId w:val="4"/>
        </w:numPr>
        <w:spacing w:after="60" w:line="268"/>
      </w:pPr>
      <w:r>
        <w:t xml:space="preserve">Search Zendesk for an open parent ticket whose </w:t>
      </w:r>
      <w:r>
        <w:rPr>
          <w:rFonts w:ascii="Consolas" w:cs="Consolas" w:eastAsia="Consolas" w:hAnsi="Consolas"/>
          <w:sz w:val="19"/>
          <w:szCs w:val="19"/>
        </w:rPr>
        <w:t xml:space="preserve">File Number</w:t>
      </w:r>
      <w:r>
        <w:t xml:space="preserve"> field equals this row’s File Number.</w:t>
      </w:r>
    </w:p>
    <w:p>
      <w:pPr>
        <w:pStyle w:val="ListParagraph"/>
        <w:numPr>
          <w:ilvl w:val="0"/>
          <w:numId w:val="4"/>
        </w:numPr>
        <w:spacing w:after="60" w:line="268"/>
      </w:pPr>
      <w:r>
        <w:t xml:space="preserve">If none exists, </w:t>
      </w:r>
      <w:r>
        <w:rPr>
          <w:b/>
          <w:bCs/>
        </w:rPr>
        <w:t xml:space="preserve">create the parent</w:t>
      </w:r>
      <w:r>
        <w:t xml:space="preserve"> (requester = applicant, subject = the [ELS-#] convention, set fields + assignee + priority).</w:t>
      </w:r>
    </w:p>
    <w:p>
      <w:pPr>
        <w:pStyle w:val="ListParagraph"/>
        <w:numPr>
          <w:ilvl w:val="0"/>
          <w:numId w:val="4"/>
        </w:numPr>
        <w:spacing w:after="60" w:line="268"/>
      </w:pPr>
      <w:r>
        <w:t xml:space="preserve">If one exists, </w:t>
      </w:r>
      <w:r>
        <w:rPr>
          <w:b/>
          <w:bCs/>
        </w:rPr>
        <w:t xml:space="preserve">update</w:t>
      </w:r>
      <w:r>
        <w:t xml:space="preserve"> assignee/priority/status only if changed (so re-runs are quiet).</w:t>
      </w:r>
    </w:p>
    <w:p>
      <w:pPr>
        <w:pStyle w:val="ListParagraph"/>
        <w:numPr>
          <w:ilvl w:val="0"/>
          <w:numId w:val="4"/>
        </w:numPr>
        <w:spacing w:after="60" w:line="268"/>
      </w:pPr>
      <w:r>
        <w:t xml:space="preserve">For each Charge in the row, ensure a </w:t>
      </w:r>
      <w:r>
        <w:rPr>
          <w:b/>
          <w:bCs/>
        </w:rPr>
        <w:t xml:space="preserve">child ticket</w:t>
      </w:r>
      <w:r>
        <w:t xml:space="preserve"> exists for that Referral/Organization; create it (as a side-conversation child) if missing, leave it if already there.</w:t>
      </w:r>
    </w:p>
    <w:p>
      <w:pPr>
        <w:pStyle w:val="ListParagraph"/>
        <w:numPr>
          <w:ilvl w:val="0"/>
          <w:numId w:val="4"/>
        </w:numPr>
        <w:spacing w:after="60" w:line="268"/>
      </w:pPr>
      <w:r>
        <w:t xml:space="preserve">Close the loop: a child whose Charge has dropped off the export can be flagged “cleared” — your rule, your call.</w:t>
      </w:r>
    </w:p>
    <w:p>
      <w:pPr>
        <w:spacing w:after="140" w:line="276"/>
      </w:pPr>
      <w:r>
        <w:rPr>
          <w:b/>
          <w:bCs/>
        </w:rPr>
        <w:t xml:space="preserve">Batching: </w:t>
      </w:r>
      <w:r>
        <w:t xml:space="preserve">the ticket-import endpoint accepts batches (up to ~100 tickets per call), so a daily file of a few hundred rows syncs in seconds.</w:t>
      </w:r>
    </w:p>
    <w:p>
      <w:pPr>
        <w:spacing w:after="140" w:line="276"/>
      </w:pPr>
      <w:r>
        <w:rPr>
          <w:b/>
          <w:bCs/>
        </w:rPr>
        <w:t xml:space="preserve">Idempotency is the whole game: </w:t>
      </w:r>
      <w:r>
        <w:t xml:space="preserve">because everything keys on File Number, running the sync twice in one day changes nothing the second time. That is what keeps the queue clean.</w:t>
      </w:r>
    </w:p>
    <w:p>
      <w:r>
        <w:br w:type="page"/>
      </w:r>
    </w:p>
    <w:p>
      <w:pPr>
        <w:pStyle w:val="Heading1"/>
      </w:pPr>
      <w:r>
        <w:t xml:space="preserve">10. Sandbox build sequence (to get a previewable model)</w:t>
      </w:r>
    </w:p>
    <w:p>
      <w:pPr>
        <w:spacing w:after="140" w:line="276"/>
      </w:pPr>
      <w:r>
        <w:t xml:space="preserve">Do these in order. Each step is small; the goal is a clickable demo, not production.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
        <w:gridCol w:w="6360"/>
        <w:gridCol w:w="2400"/>
      </w:tblGrid>
      <w:tr>
        <w:trPr>
          <w:tblHeader/>
        </w:trPr>
        <w:tc>
          <w:tcPr>
            <w:tcW w:type="dxa" w:w="6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w:t>
            </w:r>
          </w:p>
        </w:tc>
        <w:tc>
          <w:tcPr>
            <w:tcW w:type="dxa" w:w="63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Step</w:t>
            </w:r>
          </w:p>
        </w:tc>
        <w:tc>
          <w:tcPr>
            <w:tcW w:type="dxa" w:w="24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Produces</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1</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Create the custom fields from Section 2.3 (start with File Number, Application Type, Referral/Charge, Coordination status, Priority).</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schema everything keys on.</w:t>
            </w:r>
          </w:p>
        </w:tc>
      </w:tr>
      <w:tr>
        <w:tc>
          <w:tcPr>
            <w:tcW w:type="dxa" w:w="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2</w:t>
            </w:r>
          </w:p>
        </w:tc>
        <w:tc>
          <w:tcPr>
            <w:tcW w:type="dxa" w:w="6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Build one ticket form (“Application”) that shows those fields.</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Consistent data entry.</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3</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Create Organizations for the external bodies (FASC, WTB, Space, FAA, ATC, PSHSB, OIA).</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Routing + per-agency reporting.</w:t>
            </w:r>
          </w:p>
        </w:tc>
      </w:tr>
      <w:tr>
        <w:tc>
          <w:tcPr>
            <w:tcW w:type="dxa" w:w="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4</w:t>
            </w:r>
          </w:p>
        </w:tc>
        <w:tc>
          <w:tcPr>
            <w:tcW w:type="dxa" w:w="6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Create internal Group(s) and add your reviewers as agents; invite any external reviewers as light agents (optional).</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Assignment + access model.</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5</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Connect the three inbox addresses; add a routing trigger per address + the [ELS-#] subject-parsing trigger.</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One queue; auto-association.</w:t>
            </w:r>
          </w:p>
        </w:tc>
      </w:tr>
      <w:tr>
        <w:tc>
          <w:tcPr>
            <w:tcW w:type="dxa" w:w="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6</w:t>
            </w:r>
          </w:p>
        </w:tc>
        <w:tc>
          <w:tcPr>
            <w:tcW w:type="dxa" w:w="6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Enable side conversations / child tickets (or install Linked Ticket app).</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The parent/child mechanism.</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7</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Create the Views from Section 7.1 and one SLA policy (referral &lt; 14 business days).</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team’s home screen + the clock.</w:t>
            </w:r>
          </w:p>
        </w:tc>
      </w:tr>
      <w:tr>
        <w:tc>
          <w:tcPr>
            <w:tcW w:type="dxa" w:w="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8</w:t>
            </w:r>
          </w:p>
        </w:tc>
        <w:tc>
          <w:tcPr>
            <w:tcW w:type="dxa" w:w="6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Install a PDF export app and confirm it captures side conversations.</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The file-of-record output.</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9</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Run the API sync script against a handful of sample CSV rows (incl. a file with 3+ charges).</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Real parent + children to demo.</w:t>
            </w:r>
          </w:p>
        </w:tc>
      </w:tr>
      <w:tr>
        <w:tc>
          <w:tcPr>
            <w:tcW w:type="dxa" w:w="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10</w:t>
            </w:r>
          </w:p>
        </w:tc>
        <w:tc>
          <w:tcPr>
            <w:tcW w:type="dxa" w:w="63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Build one Explore dashboard (Unsolved + Backlog + median age by Organization).</w:t>
            </w:r>
          </w:p>
        </w:tc>
        <w:tc>
          <w:tcPr>
            <w:tcW w:type="dxa" w:w="24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The management view (#13).</w:t>
            </w:r>
          </w:p>
        </w:tc>
      </w:tr>
      <w:tr>
        <w:tc>
          <w:tcPr>
            <w:tcW w:type="dxa" w:w="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11</w:t>
            </w:r>
          </w:p>
        </w:tc>
        <w:tc>
          <w:tcPr>
            <w:tcW w:type="dxa" w:w="63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Generate one sample daily digest email for an external body.</w:t>
            </w:r>
          </w:p>
        </w:tc>
        <w:tc>
          <w:tcPr>
            <w:tcW w:type="dxa" w:w="24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Proof of the push-don’t-pull promise.</w:t>
            </w:r>
          </w:p>
        </w:tc>
      </w:tr>
    </w:tbl>
    <w:p>
      <w:r>
        <w:br w:type="page"/>
      </w:r>
    </w:p>
    <w:p>
      <w:pPr>
        <w:pStyle w:val="Heading1"/>
      </w:pPr>
      <w:r>
        <w:t xml:space="preserve">11. What to show the team in the preview</w:t>
      </w:r>
    </w:p>
    <w:p>
      <w:pPr>
        <w:spacing w:after="140" w:line="276"/>
      </w:pPr>
      <w:r>
        <w:t xml:space="preserve">A five-minute walkthrough that lands the value:</w:t>
      </w:r>
    </w:p>
    <w:p>
      <w:pPr>
        <w:pStyle w:val="ListParagraph"/>
        <w:numPr>
          <w:ilvl w:val="0"/>
          <w:numId w:val="5"/>
        </w:numPr>
        <w:spacing w:after="60" w:line="268"/>
      </w:pPr>
      <w:r>
        <w:rPr>
          <w:b/>
          <w:bCs/>
        </w:rPr>
        <w:t xml:space="preserve">Open one application (parent) </w:t>
      </w:r>
      <w:r>
        <w:t xml:space="preserve">with three referral child tickets — “one file, every referral, one place.”</w:t>
      </w:r>
    </w:p>
    <w:p>
      <w:pPr>
        <w:pStyle w:val="ListParagraph"/>
        <w:numPr>
          <w:ilvl w:val="0"/>
          <w:numId w:val="5"/>
        </w:numPr>
        <w:spacing w:after="60" w:line="268"/>
      </w:pPr>
      <w:r>
        <w:rPr>
          <w:b/>
          <w:bCs/>
        </w:rPr>
        <w:t xml:space="preserve">Show a referral’s age </w:t>
      </w:r>
      <w:r>
        <w:t xml:space="preserve">and the SLA turning red — “this is the clock that stops things drifting at an agency.”</w:t>
      </w:r>
    </w:p>
    <w:p>
      <w:pPr>
        <w:pStyle w:val="ListParagraph"/>
        <w:numPr>
          <w:ilvl w:val="0"/>
          <w:numId w:val="5"/>
        </w:numPr>
        <w:spacing w:after="60" w:line="268"/>
      </w:pPr>
      <w:r>
        <w:rPr>
          <w:b/>
          <w:bCs/>
        </w:rPr>
        <w:t xml:space="preserve">Forward an inquiry email </w:t>
      </w:r>
      <w:r>
        <w:t xml:space="preserve">with [ELS-#] in the subject and watch it attach to the file — “no more manual upload (pain point #2).”</w:t>
      </w:r>
    </w:p>
    <w:p>
      <w:pPr>
        <w:pStyle w:val="ListParagraph"/>
        <w:numPr>
          <w:ilvl w:val="0"/>
          <w:numId w:val="5"/>
        </w:numPr>
        <w:spacing w:after="60" w:line="268"/>
      </w:pPr>
      <w:r>
        <w:rPr>
          <w:b/>
          <w:bCs/>
        </w:rPr>
        <w:t xml:space="preserve">Open the Explore dashboard </w:t>
      </w:r>
      <w:r>
        <w:t xml:space="preserve">— “median time with each agency, backlog trend (pain point #13).”</w:t>
      </w:r>
    </w:p>
    <w:p>
      <w:pPr>
        <w:pStyle w:val="ListParagraph"/>
        <w:numPr>
          <w:ilvl w:val="0"/>
          <w:numId w:val="5"/>
        </w:numPr>
        <w:spacing w:after="60" w:line="268"/>
      </w:pPr>
      <w:r>
        <w:rPr>
          <w:b/>
          <w:bCs/>
        </w:rPr>
        <w:t xml:space="preserve">Show the sample digest email </w:t>
      </w:r>
      <w:r>
        <w:t xml:space="preserve">— “external teams get this every morning; they never log in.”</w:t>
      </w:r>
    </w:p>
    <w:p>
      <w:pPr>
        <w:pStyle w:val="ListParagraph"/>
        <w:numPr>
          <w:ilvl w:val="0"/>
          <w:numId w:val="5"/>
        </w:numPr>
        <w:spacing w:after="60" w:line="268"/>
      </w:pPr>
      <w:r>
        <w:rPr>
          <w:b/>
          <w:bCs/>
        </w:rPr>
        <w:t xml:space="preserve">Export the ticket to PDF </w:t>
      </w:r>
      <w:r>
        <w:t xml:space="preserve">— “and here is what goes into the official file.”</w:t>
      </w:r>
    </w:p>
    <w:p>
      <w:pPr>
        <w:pStyle w:val="Heading2"/>
      </w:pPr>
      <w:r>
        <w:t xml:space="preserve">11.1 Open decisions to settle with the team</w:t>
      </w:r>
    </w:p>
    <w:p>
      <w:pPr>
        <w:pStyle w:val="ListParagraph"/>
        <w:numPr>
          <w:ilvl w:val="0"/>
          <w:numId w:val="2"/>
        </w:numPr>
        <w:spacing w:after="60" w:line="268"/>
      </w:pPr>
      <w:r>
        <w:t xml:space="preserve">Should “Assigned Team Member” be a real Zendesk assignee (licensed agent) or a display-only field?</w:t>
      </w:r>
    </w:p>
    <w:p>
      <w:pPr>
        <w:pStyle w:val="ListParagraph"/>
        <w:numPr>
          <w:ilvl w:val="0"/>
          <w:numId w:val="2"/>
        </w:numPr>
        <w:spacing w:after="60" w:line="268"/>
      </w:pPr>
      <w:r>
        <w:t xml:space="preserve">Which external bodies start email-only vs. accept a light-agent seat?</w:t>
      </w:r>
    </w:p>
    <w:p>
      <w:pPr>
        <w:pStyle w:val="ListParagraph"/>
        <w:numPr>
          <w:ilvl w:val="0"/>
          <w:numId w:val="2"/>
        </w:numPr>
        <w:spacing w:after="60" w:line="268"/>
      </w:pPr>
      <w:r>
        <w:t xml:space="preserve">PDF-for-file scope: parent-with-side-conversations, or parent + each child?</w:t>
      </w:r>
    </w:p>
    <w:p>
      <w:pPr>
        <w:pStyle w:val="ListParagraph"/>
        <w:numPr>
          <w:ilvl w:val="0"/>
          <w:numId w:val="2"/>
        </w:numPr>
        <w:spacing w:after="60" w:line="268"/>
      </w:pPr>
      <w:r>
        <w:t xml:space="preserve">Government/ATO posture for production (Section 5.2) — who owns confirming it?</w:t>
      </w:r>
    </w:p>
    <w:p>
      <w:pPr>
        <w:pStyle w:val="ListParagraph"/>
        <w:numPr>
          <w:ilvl w:val="0"/>
          <w:numId w:val="2"/>
        </w:numPr>
        <w:spacing w:after="60" w:line="268"/>
      </w:pPr>
      <w:r>
        <w:t xml:space="preserve">SLA thresholds per Referral type (FASC vs OIA have very different medians).</w:t>
      </w:r>
    </w:p>
    <w:p>
      <w:r>
        <w:br w:type="page"/>
      </w:r>
    </w:p>
    <w:p>
      <w:pPr>
        <w:pStyle w:val="Heading1"/>
      </w:pPr>
      <w:r>
        <w:t xml:space="preserve">Appendix A — CSV column → Zendesk mapping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00"/>
        <w:gridCol w:w="3460"/>
        <w:gridCol w:w="3600"/>
      </w:tblGrid>
      <w:tr>
        <w:trPr>
          <w:tblHeader/>
        </w:trPr>
        <w:tc>
          <w:tcPr>
            <w:tcW w:type="dxa" w:w="23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CSV column</w:t>
            </w:r>
          </w:p>
        </w:tc>
        <w:tc>
          <w:tcPr>
            <w:tcW w:type="dxa" w:w="346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Zendesk target</w:t>
            </w:r>
          </w:p>
        </w:tc>
        <w:tc>
          <w:tcPr>
            <w:tcW w:type="dxa" w:w="3600"/>
            <w:tcBorders>
              <w:top w:val="single" w:color="BBBBBB" w:sz="1"/>
              <w:left w:val="single" w:color="BBBBBB" w:sz="1"/>
              <w:bottom w:val="single" w:color="BBBBBB" w:sz="1"/>
              <w:right w:val="single" w:color="BBBBBB" w:sz="1"/>
            </w:tcBorders>
            <w:shd w:fill="1F3864" w:val="clear"/>
            <w:tcMar>
              <w:top w:type="dxa" w:w="60"/>
              <w:left w:type="dxa" w:w="110"/>
              <w:bottom w:type="dxa" w:w="60"/>
              <w:right w:type="dxa" w:w="110"/>
            </w:tcMar>
          </w:tcPr>
          <w:p>
            <w:pPr>
              <w:spacing w:after="0" w:line="252"/>
              <w:jc w:val="left"/>
            </w:pPr>
            <w:r>
              <w:rPr>
                <w:b/>
                <w:bCs/>
                <w:color w:val="FFFFFF"/>
              </w:rPr>
              <w:t xml:space="preserve">Notes</w:t>
            </w:r>
          </w:p>
        </w:tc>
      </w:tr>
      <w:tr>
        <w:tc>
          <w:tcPr>
            <w:tcW w:type="dxa" w:w="23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File Number</w:t>
            </w:r>
          </w:p>
        </w:tc>
        <w:tc>
          <w:tcPr>
            <w:tcW w:type="dxa" w:w="34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Custom field “File Number” (parent + child)</w:t>
            </w:r>
          </w:p>
        </w:tc>
        <w:tc>
          <w:tcPr>
            <w:tcW w:type="dxa" w:w="3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The unique join key; drives upsert and association.</w:t>
            </w:r>
          </w:p>
        </w:tc>
      </w:tr>
      <w:tr>
        <w:tc>
          <w:tcPr>
            <w:tcW w:type="dxa" w:w="23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Applicant Name</w:t>
            </w:r>
          </w:p>
        </w:tc>
        <w:tc>
          <w:tcPr>
            <w:tcW w:type="dxa" w:w="34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Requester (end user) name</w:t>
            </w:r>
          </w:p>
        </w:tc>
        <w:tc>
          <w:tcPr>
            <w:tcW w:type="dxa" w:w="3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Create/lookup the user; also in subject.</w:t>
            </w:r>
          </w:p>
        </w:tc>
      </w:tr>
      <w:tr>
        <w:tc>
          <w:tcPr>
            <w:tcW w:type="dxa" w:w="23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Applicant Email</w:t>
            </w:r>
          </w:p>
        </w:tc>
        <w:tc>
          <w:tcPr>
            <w:tcW w:type="dxa" w:w="34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Requester email</w:t>
            </w:r>
          </w:p>
        </w:tc>
        <w:tc>
          <w:tcPr>
            <w:tcW w:type="dxa" w:w="3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User identity; reply-to threading.</w:t>
            </w:r>
          </w:p>
        </w:tc>
      </w:tr>
      <w:tr>
        <w:tc>
          <w:tcPr>
            <w:tcW w:type="dxa" w:w="23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Assigned Team Member</w:t>
            </w:r>
          </w:p>
        </w:tc>
        <w:tc>
          <w:tcPr>
            <w:tcW w:type="dxa" w:w="346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Ticket Assignee or custom drop-down</w:t>
            </w:r>
          </w:p>
        </w:tc>
        <w:tc>
          <w:tcPr>
            <w:tcW w:type="dxa" w:w="3600"/>
            <w:tcBorders>
              <w:top w:val="single" w:color="BBBBBB" w:sz="1"/>
              <w:left w:val="single" w:color="BBBBBB" w:sz="1"/>
              <w:bottom w:val="single" w:color="BBBBBB" w:sz="1"/>
              <w:right w:val="single" w:color="BBBBBB" w:sz="1"/>
            </w:tcBorders>
            <w:shd w:fill="EDF2FA" w:val="clear"/>
            <w:tcMar>
              <w:top w:type="dxa" w:w="60"/>
              <w:left w:type="dxa" w:w="110"/>
              <w:bottom w:type="dxa" w:w="60"/>
              <w:right w:type="dxa" w:w="110"/>
            </w:tcMar>
          </w:tcPr>
          <w:p>
            <w:pPr>
              <w:spacing w:after="0" w:line="252"/>
              <w:jc w:val="left"/>
            </w:pPr>
            <w:r>
              <w:rPr>
                <w:b w:val="false"/>
                <w:bCs w:val="false"/>
              </w:rPr>
              <w:t xml:space="preserve">Native Assignee if they are agents; field if not.</w:t>
            </w:r>
          </w:p>
        </w:tc>
      </w:tr>
      <w:tr>
        <w:tc>
          <w:tcPr>
            <w:tcW w:type="dxa" w:w="23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Charges (Referrals)</w:t>
            </w:r>
          </w:p>
        </w:tc>
        <w:tc>
          <w:tcPr>
            <w:tcW w:type="dxa" w:w="346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One child ticket per value; Referral field + Organization</w:t>
            </w:r>
          </w:p>
        </w:tc>
        <w:tc>
          <w:tcPr>
            <w:tcW w:type="dxa" w:w="3600"/>
            <w:tcBorders>
              <w:top w:val="single" w:color="BBBBBB" w:sz="1"/>
              <w:left w:val="single" w:color="BBBBBB" w:sz="1"/>
              <w:bottom w:val="single" w:color="BBBBBB" w:sz="1"/>
              <w:right w:val="single" w:color="BBBBBB" w:sz="1"/>
            </w:tcBorders>
            <w:shd w:fill="FFFFFF" w:val="clear"/>
            <w:tcMar>
              <w:top w:type="dxa" w:w="60"/>
              <w:left w:type="dxa" w:w="110"/>
              <w:bottom w:type="dxa" w:w="60"/>
              <w:right w:type="dxa" w:w="110"/>
            </w:tcMar>
          </w:tcPr>
          <w:p>
            <w:pPr>
              <w:spacing w:after="0" w:line="252"/>
              <w:jc w:val="left"/>
            </w:pPr>
            <w:r>
              <w:rPr>
                <w:b w:val="false"/>
                <w:bCs w:val="false"/>
              </w:rPr>
              <w:t xml:space="preserve">Many-per-file → loop and create children; set Organization for routing/reporting.</w:t>
            </w:r>
          </w:p>
        </w:tc>
      </w:tr>
    </w:tbl>
    <w:p>
      <w:pPr>
        <w:spacing w:after="80"/>
      </w:pPr>
    </w:p>
    <w:p>
      <w:pPr>
        <w:pStyle w:val="Heading1"/>
      </w:pPr>
      <w:r>
        <w:t xml:space="preserve">Appendix B — Sources (Zendesk documentation)</w:t>
      </w:r>
    </w:p>
    <w:p>
      <w:pPr>
        <w:pStyle w:val="ListParagraph"/>
        <w:numPr>
          <w:ilvl w:val="0"/>
          <w:numId w:val="2"/>
        </w:numPr>
        <w:spacing w:after="60" w:line="268"/>
      </w:pPr>
      <w:r>
        <w:t xml:space="preserve">Side conversation child tickets (parent/child behavior, field copying) — </w:t>
      </w:r>
      <w:hyperlink w:history="1" r:id="rId1fqdrriouvrc8ogdoekys">
        <w:r>
          <w:rPr>
            <w:rStyle w:val="Hyperlink"/>
          </w:rPr>
          <w:t xml:space="preserve">https://support.zendesk.com/hc/en-us/articles/4408836521498-Using-side-conversation-child-tickets</w:t>
        </w:r>
      </w:hyperlink>
    </w:p>
    <w:p>
      <w:pPr>
        <w:pStyle w:val="ListParagraph"/>
        <w:numPr>
          <w:ilvl w:val="0"/>
          <w:numId w:val="2"/>
        </w:numPr>
        <w:spacing w:after="60" w:line="268"/>
      </w:pPr>
      <w:r>
        <w:t xml:space="preserve">Enabling side conversation child tickets — </w:t>
      </w:r>
      <w:hyperlink w:history="1" r:id="rId73_q_skjsbr3cjbmug0et">
        <w:r>
          <w:rPr>
            <w:rStyle w:val="Hyperlink"/>
          </w:rPr>
          <w:t xml:space="preserve">https://support.zendesk.com/hc/en-us/articles/4408826941850-Enabling-side-conversation-child-tickets</w:t>
        </w:r>
      </w:hyperlink>
    </w:p>
    <w:p>
      <w:pPr>
        <w:pStyle w:val="ListParagraph"/>
        <w:numPr>
          <w:ilvl w:val="0"/>
          <w:numId w:val="2"/>
        </w:numPr>
        <w:spacing w:after="60" w:line="268"/>
      </w:pPr>
      <w:r>
        <w:t xml:space="preserve">Linked Ticket app (fallback parent/child) — </w:t>
      </w:r>
      <w:hyperlink w:history="1" r:id="rIddqpkanqronrafa-givrn7">
        <w:r>
          <w:rPr>
            <w:rStyle w:val="Hyperlink"/>
          </w:rPr>
          <w:t xml:space="preserve">https://support.zendesk.com/hc/en-us/articles/4408820849434</w:t>
        </w:r>
      </w:hyperlink>
    </w:p>
    <w:p>
      <w:pPr>
        <w:pStyle w:val="ListParagraph"/>
        <w:numPr>
          <w:ilvl w:val="0"/>
          <w:numId w:val="2"/>
        </w:numPr>
        <w:spacing w:after="60" w:line="268"/>
      </w:pPr>
      <w:r>
        <w:t xml:space="preserve">Light agent permissions and seats — </w:t>
      </w:r>
      <w:hyperlink w:history="1" r:id="rIdt7zmqwixw-nqvvvm7uhgt">
        <w:r>
          <w:rPr>
            <w:rStyle w:val="Hyperlink"/>
          </w:rPr>
          <w:t xml:space="preserve">https://support.zendesk.com/hc/en-us/articles/4408846501402-Understanding-and-setting-light-agent-permissions</w:t>
        </w:r>
      </w:hyperlink>
    </w:p>
    <w:p>
      <w:pPr>
        <w:pStyle w:val="ListParagraph"/>
        <w:numPr>
          <w:ilvl w:val="0"/>
          <w:numId w:val="2"/>
        </w:numPr>
        <w:spacing w:after="60" w:line="268"/>
      </w:pPr>
      <w:r>
        <w:t xml:space="preserve">CCs and followers — </w:t>
      </w:r>
      <w:hyperlink w:history="1" r:id="rIdsbegx5arnnviqgrokiojw">
        <w:r>
          <w:rPr>
            <w:rStyle w:val="Hyperlink"/>
          </w:rPr>
          <w:t xml:space="preserve">https://support.zendesk.com/hc/en-us/articles/5179445630234-Understanding-CCs-and-followers</w:t>
        </w:r>
      </w:hyperlink>
    </w:p>
    <w:p>
      <w:pPr>
        <w:pStyle w:val="ListParagraph"/>
        <w:numPr>
          <w:ilvl w:val="0"/>
          <w:numId w:val="2"/>
        </w:numPr>
        <w:spacing w:after="60" w:line="268"/>
      </w:pPr>
      <w:r>
        <w:t xml:space="preserve">Printing tickets (native PDF via print) — </w:t>
      </w:r>
      <w:hyperlink w:history="1" r:id="rIdrvzbbztrqqyevbbieztg1">
        <w:r>
          <w:rPr>
            <w:rStyle w:val="Hyperlink"/>
          </w:rPr>
          <w:t xml:space="preserve">https://support.zendesk.com/hc/en-us/articles/4408836523930</w:t>
        </w:r>
      </w:hyperlink>
    </w:p>
    <w:p>
      <w:pPr>
        <w:pStyle w:val="ListParagraph"/>
        <w:numPr>
          <w:ilvl w:val="0"/>
          <w:numId w:val="2"/>
        </w:numPr>
        <w:spacing w:after="60" w:line="268"/>
      </w:pPr>
      <w:r>
        <w:t xml:space="preserve">Ticket export options — </w:t>
      </w:r>
      <w:hyperlink w:history="1" r:id="rId4m9uooeys54yapllo1iay">
        <w:r>
          <w:rPr>
            <w:rStyle w:val="Hyperlink"/>
          </w:rPr>
          <w:t xml:space="preserve">https://support.zendesk.com/hc/en-us/articles/4408887024026-What-are-my-ticket-export-options-</w:t>
        </w:r>
      </w:hyperlink>
    </w:p>
    <w:p>
      <w:pPr>
        <w:pStyle w:val="ListParagraph"/>
        <w:numPr>
          <w:ilvl w:val="0"/>
          <w:numId w:val="2"/>
        </w:numPr>
        <w:spacing w:after="60" w:line="268"/>
      </w:pPr>
      <w:r>
        <w:t xml:space="preserve">Explore: tickets unsolved for more than three days (recipe) — </w:t>
      </w:r>
      <w:hyperlink w:history="1" r:id="rIddstmijfraeyc3d1ae5dq-">
        <w:r>
          <w:rPr>
            <w:rStyle w:val="Hyperlink"/>
          </w:rPr>
          <w:t xml:space="preserve">https://support.zendesk.com/hc/en-us/articles/4408839202586-Explore-recipe-Tickets-unsolved-for-more-than-three-days</w:t>
        </w:r>
      </w:hyperlink>
    </w:p>
    <w:p>
      <w:pPr>
        <w:pStyle w:val="ListParagraph"/>
        <w:numPr>
          <w:ilvl w:val="0"/>
          <w:numId w:val="2"/>
        </w:numPr>
        <w:spacing w:after="60" w:line="268"/>
      </w:pPr>
      <w:r>
        <w:t xml:space="preserve">Analyzing Support ticket activity (Unsolved/Backlog dashboard) — </w:t>
      </w:r>
      <w:hyperlink w:history="1" r:id="rIdcdtysuayq5ddlrtlds6gb">
        <w:r>
          <w:rPr>
            <w:rStyle w:val="Hyperlink"/>
          </w:rPr>
          <w:t xml:space="preserve">https://support.zendesk.com/hc/en-us/articles/4408835846810-Analyzing-your-Support-activity</w:t>
        </w:r>
      </w:hyperlink>
    </w:p>
    <w:p>
      <w:pPr>
        <w:pStyle w:val="ListParagraph"/>
        <w:numPr>
          <w:ilvl w:val="0"/>
          <w:numId w:val="2"/>
        </w:numPr>
        <w:spacing w:after="60" w:line="268"/>
      </w:pPr>
      <w:r>
        <w:t xml:space="preserve">Ticket Import API (tickets must use the API, not CSV) — </w:t>
      </w:r>
      <w:hyperlink w:history="1" r:id="rIdtz7i6punuenyl_puutzdv">
        <w:r>
          <w:rPr>
            <w:rStyle w:val="Hyperlink"/>
          </w:rPr>
          <w:t xml:space="preserve">https://developer.zendesk.com/api-reference/ticketing/tickets/ticket_import/</w:t>
        </w:r>
      </w:hyperlink>
    </w:p>
    <w:p>
      <w:pPr>
        <w:pStyle w:val="ListParagraph"/>
        <w:numPr>
          <w:ilvl w:val="0"/>
          <w:numId w:val="2"/>
        </w:numPr>
        <w:spacing w:after="60" w:line="268"/>
      </w:pPr>
      <w:r>
        <w:t xml:space="preserve">Bulk importing user data with the data importer (users/orgs only) — </w:t>
      </w:r>
      <w:hyperlink w:history="1" r:id="rIdgztbcmts8fvpsp3o9mbyx">
        <w:r>
          <w:rPr>
            <w:rStyle w:val="Hyperlink"/>
          </w:rPr>
          <w:t xml:space="preserve">https://support.zendesk.com/hc/en-us/articles/4408893496218-Bulk-importing-user-data-with-the-data-importer</w:t>
        </w:r>
      </w:hyperlink>
    </w:p>
    <w:p>
      <w:pPr>
        <w:pStyle w:val="ListParagraph"/>
        <w:numPr>
          <w:ilvl w:val="0"/>
          <w:numId w:val="2"/>
        </w:numPr>
        <w:spacing w:after="60" w:line="268"/>
      </w:pPr>
      <w:r>
        <w:t xml:space="preserve">Route tickets to groups based on support address — </w:t>
      </w:r>
      <w:hyperlink w:history="1" r:id="rIdaij3q4fppmo1rgmwns7nf">
        <w:r>
          <w:rPr>
            <w:rStyle w:val="Hyperlink"/>
          </w:rPr>
          <w:t xml:space="preserve">https://support.zendesk.com/hc/en-us/articles/4408823834394-How-can-I-route-tickets-to-groups-based-on-the-support-address-they-are-received-at-</w:t>
        </w:r>
      </w:hyperlink>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0"/>
      <w:jc w:val="center"/>
    </w:pPr>
    <w:r>
      <w:rPr>
        <w:color w:val="888888"/>
        <w:sz w:val="16"/>
        <w:szCs w:val="16"/>
      </w:rPr>
      <w:t xml:space="preserve">Page </w:t>
    </w:r>
    <w:r>
      <w:rPr>
        <w:color w:val="888888"/>
        <w:sz w:val="16"/>
        <w:szCs w:val="16"/>
      </w:rPr>
      <w:fldChar w:fldCharType="begin"/>
      <w:instrText xml:space="preserve">PAGE</w:instrText>
      <w:fldChar w:fldCharType="separate"/>
      <w:fldChar w:fldCharType="end"/>
    </w:r>
    <w:r>
      <w:rPr>
        <w:color w:val="888888"/>
        <w:sz w:val="16"/>
        <w:szCs w:val="16"/>
      </w:rPr>
      <w:t xml:space="preserve"> — sandbox design, for team review</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2"/>
      </w:pBdr>
      <w:tabs>
        <w:tab w:val="right" w:pos="9360"/>
      </w:tabs>
      <w:spacing w:after="0"/>
    </w:pPr>
    <w:r>
      <w:rPr>
        <w:color w:val="888888"/>
        <w:sz w:val="16"/>
        <w:szCs w:val="16"/>
      </w:rPr>
      <w:t xml:space="preserve">ELS Zendesk Build-Out — Design &amp; Setup Blueprint</w:t>
    </w:r>
    <w:r>
      <w:rPr>
        <w:color w:val="888888"/>
        <w:sz w:val="16"/>
        <w:szCs w:val="16"/>
      </w:rPr>
      <w:t xml:space="preserve">	OET Experimental Licensing Branch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20" w:hanging="260"/>
      </w:pPr>
    </w:lvl>
    <w:lvl w:ilvl="1" w15:tentative="1">
      <w:start w:val="1"/>
      <w:numFmt w:val="bullet"/>
      <w:lvlText w:val="–"/>
      <w:lvlJc w:val="left"/>
      <w:pPr>
        <w:ind w:left="1040" w:hanging="260"/>
      </w:pPr>
    </w:lvl>
  </w:abstractNum>
  <w:abstractNum w:abstractNumId="3" w15:restartNumberingAfterBreak="0">
    <w:multiLevelType w:val="hybridMultilevel"/>
    <w:lvl w:ilvl="0" w15:tentative="1">
      <w:start w:val="1"/>
      <w:numFmt w:val="decimal"/>
      <w:lvlText w:val="%1."/>
      <w:lvlJc w:val="left"/>
      <w:pPr>
        <w:ind w:left="520" w:hanging="260"/>
      </w:pPr>
    </w:lvl>
  </w:abstractNum>
  <w:abstractNum w:abstractNumId="4" w15:restartNumberingAfterBreak="0">
    <w:multiLevelType w:val="hybridMultilevel"/>
    <w:lvl w:ilvl="0" w15:tentative="1">
      <w:start w:val="1"/>
      <w:numFmt w:val="decimal"/>
      <w:lvlText w:val="%1."/>
      <w:lvlJc w:val="left"/>
      <w:pPr>
        <w:ind w:left="520" w:hanging="260"/>
      </w:pPr>
    </w:lvl>
  </w:abstractNum>
  <w:abstractNum w:abstractNumId="5" w15:restartNumberingAfterBreak="0">
    <w:multiLevelType w:val="hybridMultilevel"/>
    <w:lvl w:ilvl="0" w15:tentative="1">
      <w:start w:val="1"/>
      <w:numFmt w:val="decimal"/>
      <w:lvlText w:val="%1."/>
      <w:lvlJc w:val="left"/>
      <w:pPr>
        <w:ind w:left="520" w:hanging="2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 w:numId="5">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2E75B6" w:sz="6" w:space="4"/>
      </w:pBdr>
      <w:spacing w:after="160" w:before="220"/>
      <w:outlineLvl w:val="0"/>
    </w:pPr>
    <w:rPr>
      <w:rFonts w:ascii="Arial" w:cs="Arial" w:eastAsia="Arial" w:hAnsi="Arial"/>
      <w:b/>
      <w:bCs/>
      <w:color w:val="1F3864"/>
      <w:sz w:val="30"/>
      <w:szCs w:val="30"/>
    </w:rPr>
  </w:style>
  <w:style w:type="paragraph" w:styleId="Heading2">
    <w:name w:val="Heading 2"/>
    <w:basedOn w:val="Normal"/>
    <w:next w:val="Normal"/>
    <w:qFormat/>
    <w:pPr>
      <w:spacing w:after="100" w:before="180"/>
      <w:outlineLvl w:val="1"/>
    </w:pPr>
    <w:rPr>
      <w:rFonts w:ascii="Arial" w:cs="Arial" w:eastAsia="Arial" w:hAnsi="Arial"/>
      <w:b/>
      <w:bCs/>
      <w:color w:val="2E75B6"/>
      <w:sz w:val="25"/>
      <w:szCs w:val="25"/>
    </w:rPr>
  </w:style>
  <w:style w:type="paragraph" w:styleId="Heading3">
    <w:name w:val="Heading 3"/>
    <w:basedOn w:val="Normal"/>
    <w:next w:val="Normal"/>
    <w:qFormat/>
    <w:pPr>
      <w:spacing w:after="80" w:before="120"/>
      <w:outlineLvl w:val="2"/>
    </w:pPr>
    <w:rPr>
      <w:rFonts w:ascii="Arial" w:cs="Arial" w:eastAsia="Arial" w:hAnsi="Arial"/>
      <w:b/>
      <w:bCs/>
      <w:color w:val="333333"/>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1fqdrriouvrc8ogdoekys" Type="http://schemas.openxmlformats.org/officeDocument/2006/relationships/hyperlink" Target="https://support.zendesk.com/hc/en-us/articles/4408836521498-Using-side-conversation-child-tickets" TargetMode="External"/><Relationship Id="rId73_q_skjsbr3cjbmug0et" Type="http://schemas.openxmlformats.org/officeDocument/2006/relationships/hyperlink" Target="https://support.zendesk.com/hc/en-us/articles/4408826941850-Enabling-side-conversation-child-tickets" TargetMode="External"/><Relationship Id="rIddqpkanqronrafa-givrn7" Type="http://schemas.openxmlformats.org/officeDocument/2006/relationships/hyperlink" Target="https://support.zendesk.com/hc/en-us/articles/4408820849434" TargetMode="External"/><Relationship Id="rIdt7zmqwixw-nqvvvm7uhgt" Type="http://schemas.openxmlformats.org/officeDocument/2006/relationships/hyperlink" Target="https://support.zendesk.com/hc/en-us/articles/4408846501402-Understanding-and-setting-light-agent-permissions" TargetMode="External"/><Relationship Id="rIdsbegx5arnnviqgrokiojw" Type="http://schemas.openxmlformats.org/officeDocument/2006/relationships/hyperlink" Target="https://support.zendesk.com/hc/en-us/articles/5179445630234-Understanding-CCs-and-followers" TargetMode="External"/><Relationship Id="rIdrvzbbztrqqyevbbieztg1" Type="http://schemas.openxmlformats.org/officeDocument/2006/relationships/hyperlink" Target="https://support.zendesk.com/hc/en-us/articles/4408836523930" TargetMode="External"/><Relationship Id="rId4m9uooeys54yapllo1iay" Type="http://schemas.openxmlformats.org/officeDocument/2006/relationships/hyperlink" Target="https://support.zendesk.com/hc/en-us/articles/4408887024026-What-are-my-ticket-export-options-" TargetMode="External"/><Relationship Id="rIddstmijfraeyc3d1ae5dq-" Type="http://schemas.openxmlformats.org/officeDocument/2006/relationships/hyperlink" Target="https://support.zendesk.com/hc/en-us/articles/4408839202586-Explore-recipe-Tickets-unsolved-for-more-than-three-days" TargetMode="External"/><Relationship Id="rIdcdtysuayq5ddlrtlds6gb" Type="http://schemas.openxmlformats.org/officeDocument/2006/relationships/hyperlink" Target="https://support.zendesk.com/hc/en-us/articles/4408835846810-Analyzing-your-Support-activity" TargetMode="External"/><Relationship Id="rIdtz7i6punuenyl_puutzdv" Type="http://schemas.openxmlformats.org/officeDocument/2006/relationships/hyperlink" Target="https://developer.zendesk.com/api-reference/ticketing/tickets/ticket_import/" TargetMode="External"/><Relationship Id="rIdgztbcmts8fvpsp3o9mbyx" Type="http://schemas.openxmlformats.org/officeDocument/2006/relationships/hyperlink" Target="https://support.zendesk.com/hc/en-us/articles/4408893496218-Bulk-importing-user-data-with-the-data-importer" TargetMode="External"/><Relationship Id="rIdaij3q4fppmo1rgmwns7nf" Type="http://schemas.openxmlformats.org/officeDocument/2006/relationships/hyperlink" Target="https://support.zendesk.com/hc/en-us/articles/4408823834394-How-can-I-route-tickets-to-groups-based-on-the-support-address-they-are-received-at-" TargetMode="External"/><Relationship Id="rId2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2026-06-07T10:52:36.544Z</dcterms:created>
  <dcterms:modified xsi:type="dcterms:W3CDTF">2026-06-07T10:52:36.545Z</dcterms:modified>
</cp:coreProperties>
</file>

<file path=docProps/custom.xml><?xml version="1.0" encoding="utf-8"?>
<Properties xmlns="http://schemas.openxmlformats.org/officeDocument/2006/custom-properties" xmlns:vt="http://schemas.openxmlformats.org/officeDocument/2006/docPropsVTypes"/>
</file>