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CA41" w14:textId="77777777" w:rsidR="006C6BDE" w:rsidRDefault="006C6BDE">
      <w:pPr>
        <w:spacing w:before="4000"/>
      </w:pPr>
    </w:p>
    <w:p w14:paraId="26EEFED9" w14:textId="77777777" w:rsidR="006C6BDE" w:rsidRDefault="00000000">
      <w:pPr>
        <w:spacing w:after="200"/>
        <w:jc w:val="center"/>
      </w:pPr>
      <w:r>
        <w:rPr>
          <w:b/>
          <w:bCs/>
          <w:color w:val="1F3864"/>
          <w:sz w:val="48"/>
          <w:szCs w:val="48"/>
        </w:rPr>
        <w:t>Special Events Spectrum Licensing:</w:t>
      </w:r>
    </w:p>
    <w:p w14:paraId="39B39F80" w14:textId="77777777" w:rsidR="006C6BDE" w:rsidRDefault="00000000">
      <w:pPr>
        <w:spacing w:after="200"/>
        <w:jc w:val="center"/>
      </w:pPr>
      <w:r>
        <w:rPr>
          <w:b/>
          <w:bCs/>
          <w:color w:val="1F3864"/>
          <w:sz w:val="48"/>
          <w:szCs w:val="48"/>
        </w:rPr>
        <w:t>History, Legal Foundations, and a Proposed</w:t>
      </w:r>
    </w:p>
    <w:p w14:paraId="3AFAD515" w14:textId="77777777" w:rsidR="006C6BDE" w:rsidRDefault="00000000">
      <w:pPr>
        <w:spacing w:after="600"/>
        <w:jc w:val="center"/>
      </w:pPr>
      <w:r>
        <w:rPr>
          <w:b/>
          <w:bCs/>
          <w:color w:val="1F3864"/>
          <w:sz w:val="48"/>
          <w:szCs w:val="48"/>
        </w:rPr>
        <w:t>Regulatory Framework</w:t>
      </w:r>
    </w:p>
    <w:p w14:paraId="43CD4977" w14:textId="77777777" w:rsidR="006C6BDE" w:rsidRDefault="00000000">
      <w:pPr>
        <w:spacing w:after="200"/>
        <w:jc w:val="center"/>
      </w:pPr>
      <w:r>
        <w:rPr>
          <w:color w:val="2E75B6"/>
          <w:sz w:val="28"/>
          <w:szCs w:val="28"/>
        </w:rPr>
        <w:t>Research Memorandum</w:t>
      </w:r>
    </w:p>
    <w:p w14:paraId="358834F8" w14:textId="77777777" w:rsidR="006C6BDE" w:rsidRDefault="00000000">
      <w:pPr>
        <w:spacing w:after="200"/>
        <w:jc w:val="center"/>
      </w:pPr>
      <w:r>
        <w:rPr>
          <w:color w:val="666666"/>
        </w:rPr>
        <w:t>June 2026</w:t>
      </w:r>
    </w:p>
    <w:p w14:paraId="4564E6A9" w14:textId="77777777" w:rsidR="006C6BDE" w:rsidRDefault="00000000">
      <w:pPr>
        <w:spacing w:after="200"/>
        <w:jc w:val="center"/>
      </w:pPr>
      <w:r>
        <w:rPr>
          <w:i/>
          <w:iCs/>
          <w:color w:val="999999"/>
        </w:rPr>
        <w:t>DRAFT — FOR DISCUSSION PURPOSES</w:t>
      </w:r>
    </w:p>
    <w:p w14:paraId="4AF1AFB2" w14:textId="77777777" w:rsidR="006C6BDE" w:rsidRDefault="00000000">
      <w:r>
        <w:br w:type="page"/>
      </w:r>
    </w:p>
    <w:p w14:paraId="34EE1263" w14:textId="77777777" w:rsidR="006C6BDE" w:rsidRDefault="00000000">
      <w:pPr>
        <w:pStyle w:val="Heading1"/>
      </w:pPr>
      <w:bookmarkStart w:id="0" w:name="_Toc231364945"/>
      <w:r>
        <w:lastRenderedPageBreak/>
        <w:t>Table of Contents</w:t>
      </w:r>
      <w:bookmarkEnd w:id="0"/>
    </w:p>
    <w:sdt>
      <w:sdtPr>
        <w:alias w:val="Table of Contents"/>
        <w:id w:val="-565649711"/>
      </w:sdtPr>
      <w:sdtContent>
        <w:p w14:paraId="2C4427D3" w14:textId="77777777" w:rsidR="006A5F14" w:rsidRDefault="00000000">
          <w:pPr>
            <w:pStyle w:val="TOC1"/>
            <w:tabs>
              <w:tab w:val="right" w:leader="dot" w:pos="9350"/>
            </w:tabs>
            <w:rPr>
              <w:noProof/>
            </w:rPr>
          </w:pPr>
          <w:r>
            <w:fldChar w:fldCharType="begin"/>
          </w:r>
          <w:r>
            <w:instrText>TOC \h \o "1-3"</w:instrText>
          </w:r>
          <w:r>
            <w:fldChar w:fldCharType="separate"/>
          </w:r>
          <w:hyperlink w:anchor="_Toc231364945" w:history="1">
            <w:r w:rsidR="006A5F14" w:rsidRPr="00020C4F">
              <w:rPr>
                <w:rStyle w:val="Hyperlink"/>
                <w:noProof/>
              </w:rPr>
              <w:t>Table of Contents</w:t>
            </w:r>
            <w:r w:rsidR="006A5F14">
              <w:rPr>
                <w:noProof/>
              </w:rPr>
              <w:tab/>
            </w:r>
            <w:r w:rsidR="006A5F14">
              <w:rPr>
                <w:noProof/>
              </w:rPr>
              <w:fldChar w:fldCharType="begin"/>
            </w:r>
            <w:r w:rsidR="006A5F14">
              <w:rPr>
                <w:noProof/>
              </w:rPr>
              <w:instrText xml:space="preserve"> PAGEREF _Toc231364945 \h </w:instrText>
            </w:r>
            <w:r w:rsidR="006A5F14">
              <w:rPr>
                <w:noProof/>
              </w:rPr>
            </w:r>
            <w:r w:rsidR="006A5F14">
              <w:rPr>
                <w:noProof/>
              </w:rPr>
              <w:fldChar w:fldCharType="separate"/>
            </w:r>
            <w:r w:rsidR="006A5F14">
              <w:rPr>
                <w:noProof/>
              </w:rPr>
              <w:t>2</w:t>
            </w:r>
            <w:r w:rsidR="006A5F14">
              <w:rPr>
                <w:noProof/>
              </w:rPr>
              <w:fldChar w:fldCharType="end"/>
            </w:r>
          </w:hyperlink>
        </w:p>
        <w:p w14:paraId="4DB8848C" w14:textId="77777777" w:rsidR="006A5F14" w:rsidRDefault="006A5F14">
          <w:pPr>
            <w:pStyle w:val="TOC1"/>
            <w:tabs>
              <w:tab w:val="right" w:leader="dot" w:pos="9350"/>
            </w:tabs>
            <w:rPr>
              <w:noProof/>
            </w:rPr>
          </w:pPr>
          <w:hyperlink w:anchor="_Toc231364946" w:history="1">
            <w:r w:rsidRPr="00020C4F">
              <w:rPr>
                <w:rStyle w:val="Hyperlink"/>
                <w:noProof/>
              </w:rPr>
              <w:t>I. Executive Summary</w:t>
            </w:r>
            <w:r>
              <w:rPr>
                <w:noProof/>
              </w:rPr>
              <w:tab/>
            </w:r>
            <w:r>
              <w:rPr>
                <w:noProof/>
              </w:rPr>
              <w:fldChar w:fldCharType="begin"/>
            </w:r>
            <w:r>
              <w:rPr>
                <w:noProof/>
              </w:rPr>
              <w:instrText xml:space="preserve"> PAGEREF _Toc231364946 \h </w:instrText>
            </w:r>
            <w:r>
              <w:rPr>
                <w:noProof/>
              </w:rPr>
            </w:r>
            <w:r>
              <w:rPr>
                <w:noProof/>
              </w:rPr>
              <w:fldChar w:fldCharType="separate"/>
            </w:r>
            <w:r>
              <w:rPr>
                <w:noProof/>
              </w:rPr>
              <w:t>4</w:t>
            </w:r>
            <w:r>
              <w:rPr>
                <w:noProof/>
              </w:rPr>
              <w:fldChar w:fldCharType="end"/>
            </w:r>
          </w:hyperlink>
        </w:p>
        <w:p w14:paraId="3AC1BFDC" w14:textId="77777777" w:rsidR="006A5F14" w:rsidRDefault="006A5F14">
          <w:pPr>
            <w:pStyle w:val="TOC1"/>
            <w:tabs>
              <w:tab w:val="right" w:leader="dot" w:pos="9350"/>
            </w:tabs>
            <w:rPr>
              <w:noProof/>
            </w:rPr>
          </w:pPr>
          <w:hyperlink w:anchor="_Toc231364947" w:history="1">
            <w:r w:rsidRPr="00020C4F">
              <w:rPr>
                <w:rStyle w:val="Hyperlink"/>
                <w:noProof/>
              </w:rPr>
              <w:t>II. Background: The Experimental Radio Service and Special Events</w:t>
            </w:r>
            <w:r>
              <w:rPr>
                <w:noProof/>
              </w:rPr>
              <w:tab/>
            </w:r>
            <w:r>
              <w:rPr>
                <w:noProof/>
              </w:rPr>
              <w:fldChar w:fldCharType="begin"/>
            </w:r>
            <w:r>
              <w:rPr>
                <w:noProof/>
              </w:rPr>
              <w:instrText xml:space="preserve"> PAGEREF _Toc231364947 \h </w:instrText>
            </w:r>
            <w:r>
              <w:rPr>
                <w:noProof/>
              </w:rPr>
            </w:r>
            <w:r>
              <w:rPr>
                <w:noProof/>
              </w:rPr>
              <w:fldChar w:fldCharType="separate"/>
            </w:r>
            <w:r>
              <w:rPr>
                <w:noProof/>
              </w:rPr>
              <w:t>6</w:t>
            </w:r>
            <w:r>
              <w:rPr>
                <w:noProof/>
              </w:rPr>
              <w:fldChar w:fldCharType="end"/>
            </w:r>
          </w:hyperlink>
        </w:p>
        <w:p w14:paraId="35EA1BF6" w14:textId="77777777" w:rsidR="006A5F14" w:rsidRDefault="006A5F14">
          <w:pPr>
            <w:pStyle w:val="TOC2"/>
            <w:tabs>
              <w:tab w:val="right" w:leader="dot" w:pos="9350"/>
            </w:tabs>
            <w:rPr>
              <w:noProof/>
            </w:rPr>
          </w:pPr>
          <w:hyperlink w:anchor="_Toc231364948" w:history="1">
            <w:r w:rsidRPr="00020C4F">
              <w:rPr>
                <w:rStyle w:val="Hyperlink"/>
                <w:noProof/>
              </w:rPr>
              <w:t>A. Part 5 Overview</w:t>
            </w:r>
            <w:r>
              <w:rPr>
                <w:noProof/>
              </w:rPr>
              <w:tab/>
            </w:r>
            <w:r>
              <w:rPr>
                <w:noProof/>
              </w:rPr>
              <w:fldChar w:fldCharType="begin"/>
            </w:r>
            <w:r>
              <w:rPr>
                <w:noProof/>
              </w:rPr>
              <w:instrText xml:space="preserve"> PAGEREF _Toc231364948 \h </w:instrText>
            </w:r>
            <w:r>
              <w:rPr>
                <w:noProof/>
              </w:rPr>
            </w:r>
            <w:r>
              <w:rPr>
                <w:noProof/>
              </w:rPr>
              <w:fldChar w:fldCharType="separate"/>
            </w:r>
            <w:r>
              <w:rPr>
                <w:noProof/>
              </w:rPr>
              <w:t>6</w:t>
            </w:r>
            <w:r>
              <w:rPr>
                <w:noProof/>
              </w:rPr>
              <w:fldChar w:fldCharType="end"/>
            </w:r>
          </w:hyperlink>
        </w:p>
        <w:p w14:paraId="713F7951" w14:textId="77777777" w:rsidR="006A5F14" w:rsidRDefault="006A5F14">
          <w:pPr>
            <w:pStyle w:val="TOC2"/>
            <w:tabs>
              <w:tab w:val="right" w:leader="dot" w:pos="9350"/>
            </w:tabs>
            <w:rPr>
              <w:noProof/>
            </w:rPr>
          </w:pPr>
          <w:hyperlink w:anchor="_Toc231364949" w:history="1">
            <w:r w:rsidRPr="00020C4F">
              <w:rPr>
                <w:rStyle w:val="Hyperlink"/>
                <w:noProof/>
              </w:rPr>
              <w:t>B. Current Practice: Event Production via Experimental STA</w:t>
            </w:r>
            <w:r>
              <w:rPr>
                <w:noProof/>
              </w:rPr>
              <w:tab/>
            </w:r>
            <w:r>
              <w:rPr>
                <w:noProof/>
              </w:rPr>
              <w:fldChar w:fldCharType="begin"/>
            </w:r>
            <w:r>
              <w:rPr>
                <w:noProof/>
              </w:rPr>
              <w:instrText xml:space="preserve"> PAGEREF _Toc231364949 \h </w:instrText>
            </w:r>
            <w:r>
              <w:rPr>
                <w:noProof/>
              </w:rPr>
            </w:r>
            <w:r>
              <w:rPr>
                <w:noProof/>
              </w:rPr>
              <w:fldChar w:fldCharType="separate"/>
            </w:r>
            <w:r>
              <w:rPr>
                <w:noProof/>
              </w:rPr>
              <w:t>6</w:t>
            </w:r>
            <w:r>
              <w:rPr>
                <w:noProof/>
              </w:rPr>
              <w:fldChar w:fldCharType="end"/>
            </w:r>
          </w:hyperlink>
        </w:p>
        <w:p w14:paraId="2B1E072C" w14:textId="77777777" w:rsidR="006A5F14" w:rsidRDefault="006A5F14">
          <w:pPr>
            <w:pStyle w:val="TOC2"/>
            <w:tabs>
              <w:tab w:val="right" w:leader="dot" w:pos="9350"/>
            </w:tabs>
            <w:rPr>
              <w:noProof/>
            </w:rPr>
          </w:pPr>
          <w:hyperlink w:anchor="_Toc231364950" w:history="1">
            <w:r w:rsidRPr="00020C4F">
              <w:rPr>
                <w:rStyle w:val="Hyperlink"/>
                <w:noProof/>
              </w:rPr>
              <w:t>C. The Administrative Burden</w:t>
            </w:r>
            <w:r>
              <w:rPr>
                <w:noProof/>
              </w:rPr>
              <w:tab/>
            </w:r>
            <w:r>
              <w:rPr>
                <w:noProof/>
              </w:rPr>
              <w:fldChar w:fldCharType="begin"/>
            </w:r>
            <w:r>
              <w:rPr>
                <w:noProof/>
              </w:rPr>
              <w:instrText xml:space="preserve"> PAGEREF _Toc231364950 \h </w:instrText>
            </w:r>
            <w:r>
              <w:rPr>
                <w:noProof/>
              </w:rPr>
            </w:r>
            <w:r>
              <w:rPr>
                <w:noProof/>
              </w:rPr>
              <w:fldChar w:fldCharType="separate"/>
            </w:r>
            <w:r>
              <w:rPr>
                <w:noProof/>
              </w:rPr>
              <w:t>6</w:t>
            </w:r>
            <w:r>
              <w:rPr>
                <w:noProof/>
              </w:rPr>
              <w:fldChar w:fldCharType="end"/>
            </w:r>
          </w:hyperlink>
        </w:p>
        <w:p w14:paraId="3A05E872" w14:textId="77777777" w:rsidR="006A5F14" w:rsidRDefault="006A5F14">
          <w:pPr>
            <w:pStyle w:val="TOC2"/>
            <w:tabs>
              <w:tab w:val="right" w:leader="dot" w:pos="9350"/>
            </w:tabs>
            <w:rPr>
              <w:noProof/>
            </w:rPr>
          </w:pPr>
          <w:hyperlink w:anchor="_Toc231364951" w:history="1">
            <w:r w:rsidRPr="00020C4F">
              <w:rPr>
                <w:rStyle w:val="Hyperlink"/>
                <w:noProof/>
              </w:rPr>
              <w:t>D. Adjacent Spectrum Pressures</w:t>
            </w:r>
            <w:r>
              <w:rPr>
                <w:noProof/>
              </w:rPr>
              <w:tab/>
            </w:r>
            <w:r>
              <w:rPr>
                <w:noProof/>
              </w:rPr>
              <w:fldChar w:fldCharType="begin"/>
            </w:r>
            <w:r>
              <w:rPr>
                <w:noProof/>
              </w:rPr>
              <w:instrText xml:space="preserve"> PAGEREF _Toc231364951 \h </w:instrText>
            </w:r>
            <w:r>
              <w:rPr>
                <w:noProof/>
              </w:rPr>
            </w:r>
            <w:r>
              <w:rPr>
                <w:noProof/>
              </w:rPr>
              <w:fldChar w:fldCharType="separate"/>
            </w:r>
            <w:r>
              <w:rPr>
                <w:noProof/>
              </w:rPr>
              <w:t>7</w:t>
            </w:r>
            <w:r>
              <w:rPr>
                <w:noProof/>
              </w:rPr>
              <w:fldChar w:fldCharType="end"/>
            </w:r>
          </w:hyperlink>
        </w:p>
        <w:p w14:paraId="0FB31F81" w14:textId="77777777" w:rsidR="006A5F14" w:rsidRDefault="006A5F14">
          <w:pPr>
            <w:pStyle w:val="TOC1"/>
            <w:tabs>
              <w:tab w:val="right" w:leader="dot" w:pos="9350"/>
            </w:tabs>
            <w:rPr>
              <w:noProof/>
            </w:rPr>
          </w:pPr>
          <w:hyperlink w:anchor="_Toc231364952" w:history="1">
            <w:r w:rsidRPr="00020C4F">
              <w:rPr>
                <w:rStyle w:val="Hyperlink"/>
                <w:noProof/>
              </w:rPr>
              <w:t>III. Legal Foundation: Why Event Production Belongs in Part 5</w:t>
            </w:r>
            <w:r>
              <w:rPr>
                <w:noProof/>
              </w:rPr>
              <w:tab/>
            </w:r>
            <w:r>
              <w:rPr>
                <w:noProof/>
              </w:rPr>
              <w:fldChar w:fldCharType="begin"/>
            </w:r>
            <w:r>
              <w:rPr>
                <w:noProof/>
              </w:rPr>
              <w:instrText xml:space="preserve"> PAGEREF _Toc231364952 \h </w:instrText>
            </w:r>
            <w:r>
              <w:rPr>
                <w:noProof/>
              </w:rPr>
            </w:r>
            <w:r>
              <w:rPr>
                <w:noProof/>
              </w:rPr>
              <w:fldChar w:fldCharType="separate"/>
            </w:r>
            <w:r>
              <w:rPr>
                <w:noProof/>
              </w:rPr>
              <w:t>8</w:t>
            </w:r>
            <w:r>
              <w:rPr>
                <w:noProof/>
              </w:rPr>
              <w:fldChar w:fldCharType="end"/>
            </w:r>
          </w:hyperlink>
        </w:p>
        <w:p w14:paraId="65CC5348" w14:textId="77777777" w:rsidR="006A5F14" w:rsidRDefault="006A5F14">
          <w:pPr>
            <w:pStyle w:val="TOC2"/>
            <w:tabs>
              <w:tab w:val="right" w:leader="dot" w:pos="9350"/>
            </w:tabs>
            <w:rPr>
              <w:noProof/>
            </w:rPr>
          </w:pPr>
          <w:hyperlink w:anchor="_Toc231364953" w:history="1">
            <w:r w:rsidRPr="00020C4F">
              <w:rPr>
                <w:rStyle w:val="Hyperlink"/>
                <w:noProof/>
              </w:rPr>
              <w:t>A. Section 303(g) and the Broad Mandate</w:t>
            </w:r>
            <w:r>
              <w:rPr>
                <w:noProof/>
              </w:rPr>
              <w:tab/>
            </w:r>
            <w:r>
              <w:rPr>
                <w:noProof/>
              </w:rPr>
              <w:fldChar w:fldCharType="begin"/>
            </w:r>
            <w:r>
              <w:rPr>
                <w:noProof/>
              </w:rPr>
              <w:instrText xml:space="preserve"> PAGEREF _Toc231364953 \h </w:instrText>
            </w:r>
            <w:r>
              <w:rPr>
                <w:noProof/>
              </w:rPr>
            </w:r>
            <w:r>
              <w:rPr>
                <w:noProof/>
              </w:rPr>
              <w:fldChar w:fldCharType="separate"/>
            </w:r>
            <w:r>
              <w:rPr>
                <w:noProof/>
              </w:rPr>
              <w:t>8</w:t>
            </w:r>
            <w:r>
              <w:rPr>
                <w:noProof/>
              </w:rPr>
              <w:fldChar w:fldCharType="end"/>
            </w:r>
          </w:hyperlink>
        </w:p>
        <w:p w14:paraId="6AA3CC91" w14:textId="77777777" w:rsidR="006A5F14" w:rsidRDefault="006A5F14">
          <w:pPr>
            <w:pStyle w:val="TOC2"/>
            <w:tabs>
              <w:tab w:val="right" w:leader="dot" w:pos="9350"/>
            </w:tabs>
            <w:rPr>
              <w:noProof/>
            </w:rPr>
          </w:pPr>
          <w:hyperlink w:anchor="_Toc231364954" w:history="1">
            <w:r w:rsidRPr="00020C4F">
              <w:rPr>
                <w:rStyle w:val="Hyperlink"/>
                <w:noProof/>
              </w:rPr>
              <w:t>B. The Experimentation Facilitation Rationale</w:t>
            </w:r>
            <w:r>
              <w:rPr>
                <w:noProof/>
              </w:rPr>
              <w:tab/>
            </w:r>
            <w:r>
              <w:rPr>
                <w:noProof/>
              </w:rPr>
              <w:fldChar w:fldCharType="begin"/>
            </w:r>
            <w:r>
              <w:rPr>
                <w:noProof/>
              </w:rPr>
              <w:instrText xml:space="preserve"> PAGEREF _Toc231364954 \h </w:instrText>
            </w:r>
            <w:r>
              <w:rPr>
                <w:noProof/>
              </w:rPr>
            </w:r>
            <w:r>
              <w:rPr>
                <w:noProof/>
              </w:rPr>
              <w:fldChar w:fldCharType="separate"/>
            </w:r>
            <w:r>
              <w:rPr>
                <w:noProof/>
              </w:rPr>
              <w:t>8</w:t>
            </w:r>
            <w:r>
              <w:rPr>
                <w:noProof/>
              </w:rPr>
              <w:fldChar w:fldCharType="end"/>
            </w:r>
          </w:hyperlink>
        </w:p>
        <w:p w14:paraId="28EBC798" w14:textId="77777777" w:rsidR="006A5F14" w:rsidRDefault="006A5F14">
          <w:pPr>
            <w:pStyle w:val="TOC2"/>
            <w:tabs>
              <w:tab w:val="right" w:leader="dot" w:pos="9350"/>
            </w:tabs>
            <w:rPr>
              <w:noProof/>
            </w:rPr>
          </w:pPr>
          <w:hyperlink w:anchor="_Toc231364955" w:history="1">
            <w:r w:rsidRPr="00020C4F">
              <w:rPr>
                <w:rStyle w:val="Hyperlink"/>
                <w:noProof/>
              </w:rPr>
              <w:t>C. Distinction from STAs in Other Services</w:t>
            </w:r>
            <w:r>
              <w:rPr>
                <w:noProof/>
              </w:rPr>
              <w:tab/>
            </w:r>
            <w:r>
              <w:rPr>
                <w:noProof/>
              </w:rPr>
              <w:fldChar w:fldCharType="begin"/>
            </w:r>
            <w:r>
              <w:rPr>
                <w:noProof/>
              </w:rPr>
              <w:instrText xml:space="preserve"> PAGEREF _Toc231364955 \h </w:instrText>
            </w:r>
            <w:r>
              <w:rPr>
                <w:noProof/>
              </w:rPr>
            </w:r>
            <w:r>
              <w:rPr>
                <w:noProof/>
              </w:rPr>
              <w:fldChar w:fldCharType="separate"/>
            </w:r>
            <w:r>
              <w:rPr>
                <w:noProof/>
              </w:rPr>
              <w:t>9</w:t>
            </w:r>
            <w:r>
              <w:rPr>
                <w:noProof/>
              </w:rPr>
              <w:fldChar w:fldCharType="end"/>
            </w:r>
          </w:hyperlink>
        </w:p>
        <w:p w14:paraId="7854E1CA" w14:textId="77777777" w:rsidR="006A5F14" w:rsidRDefault="006A5F14">
          <w:pPr>
            <w:pStyle w:val="TOC1"/>
            <w:tabs>
              <w:tab w:val="right" w:leader="dot" w:pos="9350"/>
            </w:tabs>
            <w:rPr>
              <w:noProof/>
            </w:rPr>
          </w:pPr>
          <w:hyperlink w:anchor="_Toc231364956" w:history="1">
            <w:r w:rsidRPr="00020C4F">
              <w:rPr>
                <w:rStyle w:val="Hyperlink"/>
                <w:noProof/>
              </w:rPr>
              <w:t>IV. Existing Frameworks for Defining “Special Events”</w:t>
            </w:r>
            <w:r>
              <w:rPr>
                <w:noProof/>
              </w:rPr>
              <w:tab/>
            </w:r>
            <w:r>
              <w:rPr>
                <w:noProof/>
              </w:rPr>
              <w:fldChar w:fldCharType="begin"/>
            </w:r>
            <w:r>
              <w:rPr>
                <w:noProof/>
              </w:rPr>
              <w:instrText xml:space="preserve"> PAGEREF _Toc231364956 \h </w:instrText>
            </w:r>
            <w:r>
              <w:rPr>
                <w:noProof/>
              </w:rPr>
            </w:r>
            <w:r>
              <w:rPr>
                <w:noProof/>
              </w:rPr>
              <w:fldChar w:fldCharType="separate"/>
            </w:r>
            <w:r>
              <w:rPr>
                <w:noProof/>
              </w:rPr>
              <w:t>10</w:t>
            </w:r>
            <w:r>
              <w:rPr>
                <w:noProof/>
              </w:rPr>
              <w:fldChar w:fldCharType="end"/>
            </w:r>
          </w:hyperlink>
        </w:p>
        <w:p w14:paraId="6B66FED6" w14:textId="77777777" w:rsidR="006A5F14" w:rsidRDefault="006A5F14">
          <w:pPr>
            <w:pStyle w:val="TOC2"/>
            <w:tabs>
              <w:tab w:val="right" w:leader="dot" w:pos="9350"/>
            </w:tabs>
            <w:rPr>
              <w:noProof/>
            </w:rPr>
          </w:pPr>
          <w:hyperlink w:anchor="_Toc231364957" w:history="1">
            <w:r w:rsidRPr="00020C4F">
              <w:rPr>
                <w:rStyle w:val="Hyperlink"/>
                <w:noProof/>
              </w:rPr>
              <w:t>A. Federal Frameworks</w:t>
            </w:r>
            <w:r>
              <w:rPr>
                <w:noProof/>
              </w:rPr>
              <w:tab/>
            </w:r>
            <w:r>
              <w:rPr>
                <w:noProof/>
              </w:rPr>
              <w:fldChar w:fldCharType="begin"/>
            </w:r>
            <w:r>
              <w:rPr>
                <w:noProof/>
              </w:rPr>
              <w:instrText xml:space="preserve"> PAGEREF _Toc231364957 \h </w:instrText>
            </w:r>
            <w:r>
              <w:rPr>
                <w:noProof/>
              </w:rPr>
            </w:r>
            <w:r>
              <w:rPr>
                <w:noProof/>
              </w:rPr>
              <w:fldChar w:fldCharType="separate"/>
            </w:r>
            <w:r>
              <w:rPr>
                <w:noProof/>
              </w:rPr>
              <w:t>10</w:t>
            </w:r>
            <w:r>
              <w:rPr>
                <w:noProof/>
              </w:rPr>
              <w:fldChar w:fldCharType="end"/>
            </w:r>
          </w:hyperlink>
        </w:p>
        <w:p w14:paraId="694B4CB4" w14:textId="77777777" w:rsidR="006A5F14" w:rsidRDefault="006A5F14">
          <w:pPr>
            <w:pStyle w:val="TOC3"/>
            <w:tabs>
              <w:tab w:val="right" w:leader="dot" w:pos="9350"/>
            </w:tabs>
            <w:rPr>
              <w:noProof/>
            </w:rPr>
          </w:pPr>
          <w:hyperlink w:anchor="_Toc231364958" w:history="1">
            <w:r w:rsidRPr="00020C4F">
              <w:rPr>
                <w:rStyle w:val="Hyperlink"/>
                <w:noProof/>
              </w:rPr>
              <w:t>1. DHS Special Event Assessment Rating (SEAR)</w:t>
            </w:r>
            <w:r>
              <w:rPr>
                <w:noProof/>
              </w:rPr>
              <w:tab/>
            </w:r>
            <w:r>
              <w:rPr>
                <w:noProof/>
              </w:rPr>
              <w:fldChar w:fldCharType="begin"/>
            </w:r>
            <w:r>
              <w:rPr>
                <w:noProof/>
              </w:rPr>
              <w:instrText xml:space="preserve"> PAGEREF _Toc231364958 \h </w:instrText>
            </w:r>
            <w:r>
              <w:rPr>
                <w:noProof/>
              </w:rPr>
            </w:r>
            <w:r>
              <w:rPr>
                <w:noProof/>
              </w:rPr>
              <w:fldChar w:fldCharType="separate"/>
            </w:r>
            <w:r>
              <w:rPr>
                <w:noProof/>
              </w:rPr>
              <w:t>10</w:t>
            </w:r>
            <w:r>
              <w:rPr>
                <w:noProof/>
              </w:rPr>
              <w:fldChar w:fldCharType="end"/>
            </w:r>
          </w:hyperlink>
        </w:p>
        <w:p w14:paraId="08CA8410" w14:textId="77777777" w:rsidR="006A5F14" w:rsidRDefault="006A5F14">
          <w:pPr>
            <w:pStyle w:val="TOC3"/>
            <w:tabs>
              <w:tab w:val="right" w:leader="dot" w:pos="9350"/>
            </w:tabs>
            <w:rPr>
              <w:noProof/>
            </w:rPr>
          </w:pPr>
          <w:hyperlink w:anchor="_Toc231364959" w:history="1">
            <w:r w:rsidRPr="00020C4F">
              <w:rPr>
                <w:rStyle w:val="Hyperlink"/>
                <w:noProof/>
              </w:rPr>
              <w:t>2. National Special Security Events (NSSE)</w:t>
            </w:r>
            <w:r>
              <w:rPr>
                <w:noProof/>
              </w:rPr>
              <w:tab/>
            </w:r>
            <w:r>
              <w:rPr>
                <w:noProof/>
              </w:rPr>
              <w:fldChar w:fldCharType="begin"/>
            </w:r>
            <w:r>
              <w:rPr>
                <w:noProof/>
              </w:rPr>
              <w:instrText xml:space="preserve"> PAGEREF _Toc231364959 \h </w:instrText>
            </w:r>
            <w:r>
              <w:rPr>
                <w:noProof/>
              </w:rPr>
            </w:r>
            <w:r>
              <w:rPr>
                <w:noProof/>
              </w:rPr>
              <w:fldChar w:fldCharType="separate"/>
            </w:r>
            <w:r>
              <w:rPr>
                <w:noProof/>
              </w:rPr>
              <w:t>10</w:t>
            </w:r>
            <w:r>
              <w:rPr>
                <w:noProof/>
              </w:rPr>
              <w:fldChar w:fldCharType="end"/>
            </w:r>
          </w:hyperlink>
        </w:p>
        <w:p w14:paraId="5C391827" w14:textId="77777777" w:rsidR="006A5F14" w:rsidRDefault="006A5F14">
          <w:pPr>
            <w:pStyle w:val="TOC3"/>
            <w:tabs>
              <w:tab w:val="right" w:leader="dot" w:pos="9350"/>
            </w:tabs>
            <w:rPr>
              <w:noProof/>
            </w:rPr>
          </w:pPr>
          <w:hyperlink w:anchor="_Toc231364960" w:history="1">
            <w:r w:rsidRPr="00020C4F">
              <w:rPr>
                <w:rStyle w:val="Hyperlink"/>
                <w:noProof/>
              </w:rPr>
              <w:t>3. FHWA Planned Special Events</w:t>
            </w:r>
            <w:r>
              <w:rPr>
                <w:noProof/>
              </w:rPr>
              <w:tab/>
            </w:r>
            <w:r>
              <w:rPr>
                <w:noProof/>
              </w:rPr>
              <w:fldChar w:fldCharType="begin"/>
            </w:r>
            <w:r>
              <w:rPr>
                <w:noProof/>
              </w:rPr>
              <w:instrText xml:space="preserve"> PAGEREF _Toc231364960 \h </w:instrText>
            </w:r>
            <w:r>
              <w:rPr>
                <w:noProof/>
              </w:rPr>
            </w:r>
            <w:r>
              <w:rPr>
                <w:noProof/>
              </w:rPr>
              <w:fldChar w:fldCharType="separate"/>
            </w:r>
            <w:r>
              <w:rPr>
                <w:noProof/>
              </w:rPr>
              <w:t>10</w:t>
            </w:r>
            <w:r>
              <w:rPr>
                <w:noProof/>
              </w:rPr>
              <w:fldChar w:fldCharType="end"/>
            </w:r>
          </w:hyperlink>
        </w:p>
        <w:p w14:paraId="15606ECE" w14:textId="77777777" w:rsidR="006A5F14" w:rsidRDefault="006A5F14">
          <w:pPr>
            <w:pStyle w:val="TOC3"/>
            <w:tabs>
              <w:tab w:val="right" w:leader="dot" w:pos="9350"/>
            </w:tabs>
            <w:rPr>
              <w:noProof/>
            </w:rPr>
          </w:pPr>
          <w:hyperlink w:anchor="_Toc231364961" w:history="1">
            <w:r w:rsidRPr="00020C4F">
              <w:rPr>
                <w:rStyle w:val="Hyperlink"/>
                <w:noProof/>
              </w:rPr>
              <w:t>4. Department of Defense (32 C.F.R. Part 183)</w:t>
            </w:r>
            <w:r>
              <w:rPr>
                <w:noProof/>
              </w:rPr>
              <w:tab/>
            </w:r>
            <w:r>
              <w:rPr>
                <w:noProof/>
              </w:rPr>
              <w:fldChar w:fldCharType="begin"/>
            </w:r>
            <w:r>
              <w:rPr>
                <w:noProof/>
              </w:rPr>
              <w:instrText xml:space="preserve"> PAGEREF _Toc231364961 \h </w:instrText>
            </w:r>
            <w:r>
              <w:rPr>
                <w:noProof/>
              </w:rPr>
            </w:r>
            <w:r>
              <w:rPr>
                <w:noProof/>
              </w:rPr>
              <w:fldChar w:fldCharType="separate"/>
            </w:r>
            <w:r>
              <w:rPr>
                <w:noProof/>
              </w:rPr>
              <w:t>11</w:t>
            </w:r>
            <w:r>
              <w:rPr>
                <w:noProof/>
              </w:rPr>
              <w:fldChar w:fldCharType="end"/>
            </w:r>
          </w:hyperlink>
        </w:p>
        <w:p w14:paraId="2F87981F" w14:textId="77777777" w:rsidR="006A5F14" w:rsidRDefault="006A5F14">
          <w:pPr>
            <w:pStyle w:val="TOC2"/>
            <w:tabs>
              <w:tab w:val="right" w:leader="dot" w:pos="9350"/>
            </w:tabs>
            <w:rPr>
              <w:noProof/>
            </w:rPr>
          </w:pPr>
          <w:hyperlink w:anchor="_Toc231364962" w:history="1">
            <w:r w:rsidRPr="00020C4F">
              <w:rPr>
                <w:rStyle w:val="Hyperlink"/>
                <w:noProof/>
              </w:rPr>
              <w:t>B. State Frameworks</w:t>
            </w:r>
            <w:r>
              <w:rPr>
                <w:noProof/>
              </w:rPr>
              <w:tab/>
            </w:r>
            <w:r>
              <w:rPr>
                <w:noProof/>
              </w:rPr>
              <w:fldChar w:fldCharType="begin"/>
            </w:r>
            <w:r>
              <w:rPr>
                <w:noProof/>
              </w:rPr>
              <w:instrText xml:space="preserve"> PAGEREF _Toc231364962 \h </w:instrText>
            </w:r>
            <w:r>
              <w:rPr>
                <w:noProof/>
              </w:rPr>
            </w:r>
            <w:r>
              <w:rPr>
                <w:noProof/>
              </w:rPr>
              <w:fldChar w:fldCharType="separate"/>
            </w:r>
            <w:r>
              <w:rPr>
                <w:noProof/>
              </w:rPr>
              <w:t>11</w:t>
            </w:r>
            <w:r>
              <w:rPr>
                <w:noProof/>
              </w:rPr>
              <w:fldChar w:fldCharType="end"/>
            </w:r>
          </w:hyperlink>
        </w:p>
        <w:p w14:paraId="7FE3BB71" w14:textId="77777777" w:rsidR="006A5F14" w:rsidRDefault="006A5F14">
          <w:pPr>
            <w:pStyle w:val="TOC3"/>
            <w:tabs>
              <w:tab w:val="right" w:leader="dot" w:pos="9350"/>
            </w:tabs>
            <w:rPr>
              <w:noProof/>
            </w:rPr>
          </w:pPr>
          <w:hyperlink w:anchor="_Toc231364963" w:history="1">
            <w:r w:rsidRPr="00020C4F">
              <w:rPr>
                <w:rStyle w:val="Hyperlink"/>
                <w:noProof/>
              </w:rPr>
              <w:t>1. Texas Mass Gathering Law (Health &amp; Safety Code Ch. 751)</w:t>
            </w:r>
            <w:r>
              <w:rPr>
                <w:noProof/>
              </w:rPr>
              <w:tab/>
            </w:r>
            <w:r>
              <w:rPr>
                <w:noProof/>
              </w:rPr>
              <w:fldChar w:fldCharType="begin"/>
            </w:r>
            <w:r>
              <w:rPr>
                <w:noProof/>
              </w:rPr>
              <w:instrText xml:space="preserve"> PAGEREF _Toc231364963 \h </w:instrText>
            </w:r>
            <w:r>
              <w:rPr>
                <w:noProof/>
              </w:rPr>
            </w:r>
            <w:r>
              <w:rPr>
                <w:noProof/>
              </w:rPr>
              <w:fldChar w:fldCharType="separate"/>
            </w:r>
            <w:r>
              <w:rPr>
                <w:noProof/>
              </w:rPr>
              <w:t>11</w:t>
            </w:r>
            <w:r>
              <w:rPr>
                <w:noProof/>
              </w:rPr>
              <w:fldChar w:fldCharType="end"/>
            </w:r>
          </w:hyperlink>
        </w:p>
        <w:p w14:paraId="5E9AEA9D" w14:textId="77777777" w:rsidR="006A5F14" w:rsidRDefault="006A5F14">
          <w:pPr>
            <w:pStyle w:val="TOC2"/>
            <w:tabs>
              <w:tab w:val="right" w:leader="dot" w:pos="9350"/>
            </w:tabs>
            <w:rPr>
              <w:noProof/>
            </w:rPr>
          </w:pPr>
          <w:hyperlink w:anchor="_Toc231364964" w:history="1">
            <w:r w:rsidRPr="00020C4F">
              <w:rPr>
                <w:rStyle w:val="Hyperlink"/>
                <w:noProof/>
              </w:rPr>
              <w:t>C. Local Government Ordinances</w:t>
            </w:r>
            <w:r>
              <w:rPr>
                <w:noProof/>
              </w:rPr>
              <w:tab/>
            </w:r>
            <w:r>
              <w:rPr>
                <w:noProof/>
              </w:rPr>
              <w:fldChar w:fldCharType="begin"/>
            </w:r>
            <w:r>
              <w:rPr>
                <w:noProof/>
              </w:rPr>
              <w:instrText xml:space="preserve"> PAGEREF _Toc231364964 \h </w:instrText>
            </w:r>
            <w:r>
              <w:rPr>
                <w:noProof/>
              </w:rPr>
            </w:r>
            <w:r>
              <w:rPr>
                <w:noProof/>
              </w:rPr>
              <w:fldChar w:fldCharType="separate"/>
            </w:r>
            <w:r>
              <w:rPr>
                <w:noProof/>
              </w:rPr>
              <w:t>11</w:t>
            </w:r>
            <w:r>
              <w:rPr>
                <w:noProof/>
              </w:rPr>
              <w:fldChar w:fldCharType="end"/>
            </w:r>
          </w:hyperlink>
        </w:p>
        <w:p w14:paraId="78277FF1" w14:textId="77777777" w:rsidR="006A5F14" w:rsidRDefault="006A5F14">
          <w:pPr>
            <w:pStyle w:val="TOC2"/>
            <w:tabs>
              <w:tab w:val="right" w:leader="dot" w:pos="9350"/>
            </w:tabs>
            <w:rPr>
              <w:noProof/>
            </w:rPr>
          </w:pPr>
          <w:hyperlink w:anchor="_Toc231364965" w:history="1">
            <w:r w:rsidRPr="00020C4F">
              <w:rPr>
                <w:rStyle w:val="Hyperlink"/>
                <w:noProof/>
              </w:rPr>
              <w:t>D. Implications for FCC Definition</w:t>
            </w:r>
            <w:r>
              <w:rPr>
                <w:noProof/>
              </w:rPr>
              <w:tab/>
            </w:r>
            <w:r>
              <w:rPr>
                <w:noProof/>
              </w:rPr>
              <w:fldChar w:fldCharType="begin"/>
            </w:r>
            <w:r>
              <w:rPr>
                <w:noProof/>
              </w:rPr>
              <w:instrText xml:space="preserve"> PAGEREF _Toc231364965 \h </w:instrText>
            </w:r>
            <w:r>
              <w:rPr>
                <w:noProof/>
              </w:rPr>
            </w:r>
            <w:r>
              <w:rPr>
                <w:noProof/>
              </w:rPr>
              <w:fldChar w:fldCharType="separate"/>
            </w:r>
            <w:r>
              <w:rPr>
                <w:noProof/>
              </w:rPr>
              <w:t>11</w:t>
            </w:r>
            <w:r>
              <w:rPr>
                <w:noProof/>
              </w:rPr>
              <w:fldChar w:fldCharType="end"/>
            </w:r>
          </w:hyperlink>
        </w:p>
        <w:p w14:paraId="1E644ADF" w14:textId="77777777" w:rsidR="006A5F14" w:rsidRDefault="006A5F14">
          <w:pPr>
            <w:pStyle w:val="TOC1"/>
            <w:tabs>
              <w:tab w:val="right" w:leader="dot" w:pos="9350"/>
            </w:tabs>
            <w:rPr>
              <w:noProof/>
            </w:rPr>
          </w:pPr>
          <w:hyperlink w:anchor="_Toc231364966" w:history="1">
            <w:r w:rsidRPr="00020C4F">
              <w:rPr>
                <w:rStyle w:val="Hyperlink"/>
                <w:noProof/>
              </w:rPr>
              <w:t>V. Key Precedents</w:t>
            </w:r>
            <w:r>
              <w:rPr>
                <w:noProof/>
              </w:rPr>
              <w:tab/>
            </w:r>
            <w:r>
              <w:rPr>
                <w:noProof/>
              </w:rPr>
              <w:fldChar w:fldCharType="begin"/>
            </w:r>
            <w:r>
              <w:rPr>
                <w:noProof/>
              </w:rPr>
              <w:instrText xml:space="preserve"> PAGEREF _Toc231364966 \h </w:instrText>
            </w:r>
            <w:r>
              <w:rPr>
                <w:noProof/>
              </w:rPr>
            </w:r>
            <w:r>
              <w:rPr>
                <w:noProof/>
              </w:rPr>
              <w:fldChar w:fldCharType="separate"/>
            </w:r>
            <w:r>
              <w:rPr>
                <w:noProof/>
              </w:rPr>
              <w:t>13</w:t>
            </w:r>
            <w:r>
              <w:rPr>
                <w:noProof/>
              </w:rPr>
              <w:fldChar w:fldCharType="end"/>
            </w:r>
          </w:hyperlink>
        </w:p>
        <w:p w14:paraId="08990C7B" w14:textId="77777777" w:rsidR="006A5F14" w:rsidRDefault="006A5F14">
          <w:pPr>
            <w:pStyle w:val="TOC2"/>
            <w:tabs>
              <w:tab w:val="right" w:leader="dot" w:pos="9350"/>
            </w:tabs>
            <w:rPr>
              <w:noProof/>
            </w:rPr>
          </w:pPr>
          <w:hyperlink w:anchor="_Toc231364967" w:history="1">
            <w:r w:rsidRPr="00020C4F">
              <w:rPr>
                <w:rStyle w:val="Hyperlink"/>
                <w:noProof/>
              </w:rPr>
              <w:t>A. DA 25-910: The LA28 Olympics Part 90 STA</w:t>
            </w:r>
            <w:r>
              <w:rPr>
                <w:noProof/>
              </w:rPr>
              <w:tab/>
            </w:r>
            <w:r>
              <w:rPr>
                <w:noProof/>
              </w:rPr>
              <w:fldChar w:fldCharType="begin"/>
            </w:r>
            <w:r>
              <w:rPr>
                <w:noProof/>
              </w:rPr>
              <w:instrText xml:space="preserve"> PAGEREF _Toc231364967 \h </w:instrText>
            </w:r>
            <w:r>
              <w:rPr>
                <w:noProof/>
              </w:rPr>
            </w:r>
            <w:r>
              <w:rPr>
                <w:noProof/>
              </w:rPr>
              <w:fldChar w:fldCharType="separate"/>
            </w:r>
            <w:r>
              <w:rPr>
                <w:noProof/>
              </w:rPr>
              <w:t>13</w:t>
            </w:r>
            <w:r>
              <w:rPr>
                <w:noProof/>
              </w:rPr>
              <w:fldChar w:fldCharType="end"/>
            </w:r>
          </w:hyperlink>
        </w:p>
        <w:p w14:paraId="72807863" w14:textId="77777777" w:rsidR="006A5F14" w:rsidRDefault="006A5F14">
          <w:pPr>
            <w:pStyle w:val="TOC2"/>
            <w:tabs>
              <w:tab w:val="right" w:leader="dot" w:pos="9350"/>
            </w:tabs>
            <w:rPr>
              <w:noProof/>
            </w:rPr>
          </w:pPr>
          <w:hyperlink w:anchor="_Toc231364968" w:history="1">
            <w:r w:rsidRPr="00020C4F">
              <w:rPr>
                <w:rStyle w:val="Hyperlink"/>
                <w:noProof/>
              </w:rPr>
              <w:t>B. BAS Frequency Coordinator Designations</w:t>
            </w:r>
            <w:r>
              <w:rPr>
                <w:noProof/>
              </w:rPr>
              <w:tab/>
            </w:r>
            <w:r>
              <w:rPr>
                <w:noProof/>
              </w:rPr>
              <w:fldChar w:fldCharType="begin"/>
            </w:r>
            <w:r>
              <w:rPr>
                <w:noProof/>
              </w:rPr>
              <w:instrText xml:space="preserve"> PAGEREF _Toc231364968 \h </w:instrText>
            </w:r>
            <w:r>
              <w:rPr>
                <w:noProof/>
              </w:rPr>
            </w:r>
            <w:r>
              <w:rPr>
                <w:noProof/>
              </w:rPr>
              <w:fldChar w:fldCharType="separate"/>
            </w:r>
            <w:r>
              <w:rPr>
                <w:noProof/>
              </w:rPr>
              <w:t>13</w:t>
            </w:r>
            <w:r>
              <w:rPr>
                <w:noProof/>
              </w:rPr>
              <w:fldChar w:fldCharType="end"/>
            </w:r>
          </w:hyperlink>
        </w:p>
        <w:p w14:paraId="45976686" w14:textId="77777777" w:rsidR="006A5F14" w:rsidRDefault="006A5F14">
          <w:pPr>
            <w:pStyle w:val="TOC2"/>
            <w:tabs>
              <w:tab w:val="right" w:leader="dot" w:pos="9350"/>
            </w:tabs>
            <w:rPr>
              <w:noProof/>
            </w:rPr>
          </w:pPr>
          <w:hyperlink w:anchor="_Toc231364969" w:history="1">
            <w:r w:rsidRPr="00020C4F">
              <w:rPr>
                <w:rStyle w:val="Hyperlink"/>
                <w:noProof/>
              </w:rPr>
              <w:t>C. Part 96 CBRS: The Three-Tiered Sharing Model</w:t>
            </w:r>
            <w:r>
              <w:rPr>
                <w:noProof/>
              </w:rPr>
              <w:tab/>
            </w:r>
            <w:r>
              <w:rPr>
                <w:noProof/>
              </w:rPr>
              <w:fldChar w:fldCharType="begin"/>
            </w:r>
            <w:r>
              <w:rPr>
                <w:noProof/>
              </w:rPr>
              <w:instrText xml:space="preserve"> PAGEREF _Toc231364969 \h </w:instrText>
            </w:r>
            <w:r>
              <w:rPr>
                <w:noProof/>
              </w:rPr>
            </w:r>
            <w:r>
              <w:rPr>
                <w:noProof/>
              </w:rPr>
              <w:fldChar w:fldCharType="separate"/>
            </w:r>
            <w:r>
              <w:rPr>
                <w:noProof/>
              </w:rPr>
              <w:t>13</w:t>
            </w:r>
            <w:r>
              <w:rPr>
                <w:noProof/>
              </w:rPr>
              <w:fldChar w:fldCharType="end"/>
            </w:r>
          </w:hyperlink>
        </w:p>
        <w:p w14:paraId="5C45068F" w14:textId="77777777" w:rsidR="006A5F14" w:rsidRDefault="006A5F14">
          <w:pPr>
            <w:pStyle w:val="TOC2"/>
            <w:tabs>
              <w:tab w:val="right" w:leader="dot" w:pos="9350"/>
            </w:tabs>
            <w:rPr>
              <w:noProof/>
            </w:rPr>
          </w:pPr>
          <w:hyperlink w:anchor="_Toc231364970" w:history="1">
            <w:r w:rsidRPr="00020C4F">
              <w:rPr>
                <w:rStyle w:val="Hyperlink"/>
                <w:noProof/>
              </w:rPr>
              <w:t>D. Ofcom Short-Notice Licenses (UK)</w:t>
            </w:r>
            <w:r>
              <w:rPr>
                <w:noProof/>
              </w:rPr>
              <w:tab/>
            </w:r>
            <w:r>
              <w:rPr>
                <w:noProof/>
              </w:rPr>
              <w:fldChar w:fldCharType="begin"/>
            </w:r>
            <w:r>
              <w:rPr>
                <w:noProof/>
              </w:rPr>
              <w:instrText xml:space="preserve"> PAGEREF _Toc231364970 \h </w:instrText>
            </w:r>
            <w:r>
              <w:rPr>
                <w:noProof/>
              </w:rPr>
            </w:r>
            <w:r>
              <w:rPr>
                <w:noProof/>
              </w:rPr>
              <w:fldChar w:fldCharType="separate"/>
            </w:r>
            <w:r>
              <w:rPr>
                <w:noProof/>
              </w:rPr>
              <w:t>14</w:t>
            </w:r>
            <w:r>
              <w:rPr>
                <w:noProof/>
              </w:rPr>
              <w:fldChar w:fldCharType="end"/>
            </w:r>
          </w:hyperlink>
        </w:p>
        <w:p w14:paraId="5F197AA8" w14:textId="77777777" w:rsidR="006A5F14" w:rsidRDefault="006A5F14">
          <w:pPr>
            <w:pStyle w:val="TOC1"/>
            <w:tabs>
              <w:tab w:val="right" w:leader="dot" w:pos="9350"/>
            </w:tabs>
            <w:rPr>
              <w:noProof/>
            </w:rPr>
          </w:pPr>
          <w:hyperlink w:anchor="_Toc231364971" w:history="1">
            <w:r w:rsidRPr="00020C4F">
              <w:rPr>
                <w:rStyle w:val="Hyperlink"/>
                <w:noProof/>
              </w:rPr>
              <w:t>VI. Proposed Regulatory Framework: Three-Phase Implementation</w:t>
            </w:r>
            <w:r>
              <w:rPr>
                <w:noProof/>
              </w:rPr>
              <w:tab/>
            </w:r>
            <w:r>
              <w:rPr>
                <w:noProof/>
              </w:rPr>
              <w:fldChar w:fldCharType="begin"/>
            </w:r>
            <w:r>
              <w:rPr>
                <w:noProof/>
              </w:rPr>
              <w:instrText xml:space="preserve"> PAGEREF _Toc231364971 \h </w:instrText>
            </w:r>
            <w:r>
              <w:rPr>
                <w:noProof/>
              </w:rPr>
            </w:r>
            <w:r>
              <w:rPr>
                <w:noProof/>
              </w:rPr>
              <w:fldChar w:fldCharType="separate"/>
            </w:r>
            <w:r>
              <w:rPr>
                <w:noProof/>
              </w:rPr>
              <w:t>15</w:t>
            </w:r>
            <w:r>
              <w:rPr>
                <w:noProof/>
              </w:rPr>
              <w:fldChar w:fldCharType="end"/>
            </w:r>
          </w:hyperlink>
        </w:p>
        <w:p w14:paraId="6F836FA5" w14:textId="77777777" w:rsidR="006A5F14" w:rsidRDefault="006A5F14">
          <w:pPr>
            <w:pStyle w:val="TOC2"/>
            <w:tabs>
              <w:tab w:val="right" w:leader="dot" w:pos="9350"/>
            </w:tabs>
            <w:rPr>
              <w:noProof/>
            </w:rPr>
          </w:pPr>
          <w:hyperlink w:anchor="_Toc231364972" w:history="1">
            <w:r w:rsidRPr="00020C4F">
              <w:rPr>
                <w:rStyle w:val="Hyperlink"/>
                <w:noProof/>
              </w:rPr>
              <w:t>A. Phase 1: Immediate — Nationwide Part 5 Licenses with Conditions</w:t>
            </w:r>
            <w:r>
              <w:rPr>
                <w:noProof/>
              </w:rPr>
              <w:tab/>
            </w:r>
            <w:r>
              <w:rPr>
                <w:noProof/>
              </w:rPr>
              <w:fldChar w:fldCharType="begin"/>
            </w:r>
            <w:r>
              <w:rPr>
                <w:noProof/>
              </w:rPr>
              <w:instrText xml:space="preserve"> PAGEREF _Toc231364972 \h </w:instrText>
            </w:r>
            <w:r>
              <w:rPr>
                <w:noProof/>
              </w:rPr>
            </w:r>
            <w:r>
              <w:rPr>
                <w:noProof/>
              </w:rPr>
              <w:fldChar w:fldCharType="separate"/>
            </w:r>
            <w:r>
              <w:rPr>
                <w:noProof/>
              </w:rPr>
              <w:t>15</w:t>
            </w:r>
            <w:r>
              <w:rPr>
                <w:noProof/>
              </w:rPr>
              <w:fldChar w:fldCharType="end"/>
            </w:r>
          </w:hyperlink>
        </w:p>
        <w:p w14:paraId="205F0D5F" w14:textId="77777777" w:rsidR="006A5F14" w:rsidRDefault="006A5F14">
          <w:pPr>
            <w:pStyle w:val="TOC3"/>
            <w:tabs>
              <w:tab w:val="right" w:leader="dot" w:pos="9350"/>
            </w:tabs>
            <w:rPr>
              <w:noProof/>
            </w:rPr>
          </w:pPr>
          <w:hyperlink w:anchor="_Toc231364973" w:history="1">
            <w:r w:rsidRPr="00020C4F">
              <w:rPr>
                <w:rStyle w:val="Hyperlink"/>
                <w:noProof/>
              </w:rPr>
              <w:t>1. Mechanism</w:t>
            </w:r>
            <w:r>
              <w:rPr>
                <w:noProof/>
              </w:rPr>
              <w:tab/>
            </w:r>
            <w:r>
              <w:rPr>
                <w:noProof/>
              </w:rPr>
              <w:fldChar w:fldCharType="begin"/>
            </w:r>
            <w:r>
              <w:rPr>
                <w:noProof/>
              </w:rPr>
              <w:instrText xml:space="preserve"> PAGEREF _Toc231364973 \h </w:instrText>
            </w:r>
            <w:r>
              <w:rPr>
                <w:noProof/>
              </w:rPr>
            </w:r>
            <w:r>
              <w:rPr>
                <w:noProof/>
              </w:rPr>
              <w:fldChar w:fldCharType="separate"/>
            </w:r>
            <w:r>
              <w:rPr>
                <w:noProof/>
              </w:rPr>
              <w:t>15</w:t>
            </w:r>
            <w:r>
              <w:rPr>
                <w:noProof/>
              </w:rPr>
              <w:fldChar w:fldCharType="end"/>
            </w:r>
          </w:hyperlink>
        </w:p>
        <w:p w14:paraId="7990B5DF" w14:textId="77777777" w:rsidR="006A5F14" w:rsidRDefault="006A5F14">
          <w:pPr>
            <w:pStyle w:val="TOC3"/>
            <w:tabs>
              <w:tab w:val="right" w:leader="dot" w:pos="9350"/>
            </w:tabs>
            <w:rPr>
              <w:noProof/>
            </w:rPr>
          </w:pPr>
          <w:hyperlink w:anchor="_Toc231364974" w:history="1">
            <w:r w:rsidRPr="00020C4F">
              <w:rPr>
                <w:rStyle w:val="Hyperlink"/>
                <w:noProof/>
              </w:rPr>
              <w:t>2. Conditions</w:t>
            </w:r>
            <w:r>
              <w:rPr>
                <w:noProof/>
              </w:rPr>
              <w:tab/>
            </w:r>
            <w:r>
              <w:rPr>
                <w:noProof/>
              </w:rPr>
              <w:fldChar w:fldCharType="begin"/>
            </w:r>
            <w:r>
              <w:rPr>
                <w:noProof/>
              </w:rPr>
              <w:instrText xml:space="preserve"> PAGEREF _Toc231364974 \h </w:instrText>
            </w:r>
            <w:r>
              <w:rPr>
                <w:noProof/>
              </w:rPr>
            </w:r>
            <w:r>
              <w:rPr>
                <w:noProof/>
              </w:rPr>
              <w:fldChar w:fldCharType="separate"/>
            </w:r>
            <w:r>
              <w:rPr>
                <w:noProof/>
              </w:rPr>
              <w:t>15</w:t>
            </w:r>
            <w:r>
              <w:rPr>
                <w:noProof/>
              </w:rPr>
              <w:fldChar w:fldCharType="end"/>
            </w:r>
          </w:hyperlink>
        </w:p>
        <w:p w14:paraId="3F9E2D57" w14:textId="77777777" w:rsidR="006A5F14" w:rsidRDefault="006A5F14">
          <w:pPr>
            <w:pStyle w:val="TOC3"/>
            <w:tabs>
              <w:tab w:val="right" w:leader="dot" w:pos="9350"/>
            </w:tabs>
            <w:rPr>
              <w:noProof/>
            </w:rPr>
          </w:pPr>
          <w:hyperlink w:anchor="_Toc231364975" w:history="1">
            <w:r w:rsidRPr="00020C4F">
              <w:rPr>
                <w:rStyle w:val="Hyperlink"/>
                <w:noProof/>
              </w:rPr>
              <w:t>3. Legal Basis</w:t>
            </w:r>
            <w:r>
              <w:rPr>
                <w:noProof/>
              </w:rPr>
              <w:tab/>
            </w:r>
            <w:r>
              <w:rPr>
                <w:noProof/>
              </w:rPr>
              <w:fldChar w:fldCharType="begin"/>
            </w:r>
            <w:r>
              <w:rPr>
                <w:noProof/>
              </w:rPr>
              <w:instrText xml:space="preserve"> PAGEREF _Toc231364975 \h </w:instrText>
            </w:r>
            <w:r>
              <w:rPr>
                <w:noProof/>
              </w:rPr>
            </w:r>
            <w:r>
              <w:rPr>
                <w:noProof/>
              </w:rPr>
              <w:fldChar w:fldCharType="separate"/>
            </w:r>
            <w:r>
              <w:rPr>
                <w:noProof/>
              </w:rPr>
              <w:t>15</w:t>
            </w:r>
            <w:r>
              <w:rPr>
                <w:noProof/>
              </w:rPr>
              <w:fldChar w:fldCharType="end"/>
            </w:r>
          </w:hyperlink>
        </w:p>
        <w:p w14:paraId="323E29DD" w14:textId="77777777" w:rsidR="006A5F14" w:rsidRDefault="006A5F14">
          <w:pPr>
            <w:pStyle w:val="TOC3"/>
            <w:tabs>
              <w:tab w:val="right" w:leader="dot" w:pos="9350"/>
            </w:tabs>
            <w:rPr>
              <w:noProof/>
            </w:rPr>
          </w:pPr>
          <w:hyperlink w:anchor="_Toc231364976" w:history="1">
            <w:r w:rsidRPr="00020C4F">
              <w:rPr>
                <w:rStyle w:val="Hyperlink"/>
                <w:noProof/>
              </w:rPr>
              <w:t>4. Announcement</w:t>
            </w:r>
            <w:r>
              <w:rPr>
                <w:noProof/>
              </w:rPr>
              <w:tab/>
            </w:r>
            <w:r>
              <w:rPr>
                <w:noProof/>
              </w:rPr>
              <w:fldChar w:fldCharType="begin"/>
            </w:r>
            <w:r>
              <w:rPr>
                <w:noProof/>
              </w:rPr>
              <w:instrText xml:space="preserve"> PAGEREF _Toc231364976 \h </w:instrText>
            </w:r>
            <w:r>
              <w:rPr>
                <w:noProof/>
              </w:rPr>
            </w:r>
            <w:r>
              <w:rPr>
                <w:noProof/>
              </w:rPr>
              <w:fldChar w:fldCharType="separate"/>
            </w:r>
            <w:r>
              <w:rPr>
                <w:noProof/>
              </w:rPr>
              <w:t>16</w:t>
            </w:r>
            <w:r>
              <w:rPr>
                <w:noProof/>
              </w:rPr>
              <w:fldChar w:fldCharType="end"/>
            </w:r>
          </w:hyperlink>
        </w:p>
        <w:p w14:paraId="15D8D329" w14:textId="77777777" w:rsidR="006A5F14" w:rsidRDefault="006A5F14">
          <w:pPr>
            <w:pStyle w:val="TOC2"/>
            <w:tabs>
              <w:tab w:val="right" w:leader="dot" w:pos="9350"/>
            </w:tabs>
            <w:rPr>
              <w:noProof/>
            </w:rPr>
          </w:pPr>
          <w:hyperlink w:anchor="_Toc231364977" w:history="1">
            <w:r w:rsidRPr="00020C4F">
              <w:rPr>
                <w:rStyle w:val="Hyperlink"/>
                <w:noProof/>
              </w:rPr>
              <w:t>B. Phase 2: Near-Term — ELS Database Modernization</w:t>
            </w:r>
            <w:r>
              <w:rPr>
                <w:noProof/>
              </w:rPr>
              <w:tab/>
            </w:r>
            <w:r>
              <w:rPr>
                <w:noProof/>
              </w:rPr>
              <w:fldChar w:fldCharType="begin"/>
            </w:r>
            <w:r>
              <w:rPr>
                <w:noProof/>
              </w:rPr>
              <w:instrText xml:space="preserve"> PAGEREF _Toc231364977 \h </w:instrText>
            </w:r>
            <w:r>
              <w:rPr>
                <w:noProof/>
              </w:rPr>
            </w:r>
            <w:r>
              <w:rPr>
                <w:noProof/>
              </w:rPr>
              <w:fldChar w:fldCharType="separate"/>
            </w:r>
            <w:r>
              <w:rPr>
                <w:noProof/>
              </w:rPr>
              <w:t>16</w:t>
            </w:r>
            <w:r>
              <w:rPr>
                <w:noProof/>
              </w:rPr>
              <w:fldChar w:fldCharType="end"/>
            </w:r>
          </w:hyperlink>
        </w:p>
        <w:p w14:paraId="3A29977F" w14:textId="77777777" w:rsidR="006A5F14" w:rsidRDefault="006A5F14">
          <w:pPr>
            <w:pStyle w:val="TOC3"/>
            <w:tabs>
              <w:tab w:val="right" w:leader="dot" w:pos="9350"/>
            </w:tabs>
            <w:rPr>
              <w:noProof/>
            </w:rPr>
          </w:pPr>
          <w:hyperlink w:anchor="_Toc231364978" w:history="1">
            <w:r w:rsidRPr="00020C4F">
              <w:rPr>
                <w:rStyle w:val="Hyperlink"/>
                <w:noProof/>
              </w:rPr>
              <w:t>1. Parent-Child Record Structure</w:t>
            </w:r>
            <w:r>
              <w:rPr>
                <w:noProof/>
              </w:rPr>
              <w:tab/>
            </w:r>
            <w:r>
              <w:rPr>
                <w:noProof/>
              </w:rPr>
              <w:fldChar w:fldCharType="begin"/>
            </w:r>
            <w:r>
              <w:rPr>
                <w:noProof/>
              </w:rPr>
              <w:instrText xml:space="preserve"> PAGEREF _Toc231364978 \h </w:instrText>
            </w:r>
            <w:r>
              <w:rPr>
                <w:noProof/>
              </w:rPr>
            </w:r>
            <w:r>
              <w:rPr>
                <w:noProof/>
              </w:rPr>
              <w:fldChar w:fldCharType="separate"/>
            </w:r>
            <w:r>
              <w:rPr>
                <w:noProof/>
              </w:rPr>
              <w:t>16</w:t>
            </w:r>
            <w:r>
              <w:rPr>
                <w:noProof/>
              </w:rPr>
              <w:fldChar w:fldCharType="end"/>
            </w:r>
          </w:hyperlink>
        </w:p>
        <w:p w14:paraId="68A5C78A" w14:textId="77777777" w:rsidR="006A5F14" w:rsidRDefault="006A5F14">
          <w:pPr>
            <w:pStyle w:val="TOC3"/>
            <w:tabs>
              <w:tab w:val="right" w:leader="dot" w:pos="9350"/>
            </w:tabs>
            <w:rPr>
              <w:noProof/>
            </w:rPr>
          </w:pPr>
          <w:hyperlink w:anchor="_Toc231364979" w:history="1">
            <w:r w:rsidRPr="00020C4F">
              <w:rPr>
                <w:rStyle w:val="Hyperlink"/>
                <w:noProof/>
              </w:rPr>
              <w:t>2. Self-Service Activation</w:t>
            </w:r>
            <w:r>
              <w:rPr>
                <w:noProof/>
              </w:rPr>
              <w:tab/>
            </w:r>
            <w:r>
              <w:rPr>
                <w:noProof/>
              </w:rPr>
              <w:fldChar w:fldCharType="begin"/>
            </w:r>
            <w:r>
              <w:rPr>
                <w:noProof/>
              </w:rPr>
              <w:instrText xml:space="preserve"> PAGEREF _Toc231364979 \h </w:instrText>
            </w:r>
            <w:r>
              <w:rPr>
                <w:noProof/>
              </w:rPr>
            </w:r>
            <w:r>
              <w:rPr>
                <w:noProof/>
              </w:rPr>
              <w:fldChar w:fldCharType="separate"/>
            </w:r>
            <w:r>
              <w:rPr>
                <w:noProof/>
              </w:rPr>
              <w:t>16</w:t>
            </w:r>
            <w:r>
              <w:rPr>
                <w:noProof/>
              </w:rPr>
              <w:fldChar w:fldCharType="end"/>
            </w:r>
          </w:hyperlink>
        </w:p>
        <w:p w14:paraId="3AE4E242" w14:textId="77777777" w:rsidR="006A5F14" w:rsidRDefault="006A5F14">
          <w:pPr>
            <w:pStyle w:val="TOC3"/>
            <w:tabs>
              <w:tab w:val="right" w:leader="dot" w:pos="9350"/>
            </w:tabs>
            <w:rPr>
              <w:noProof/>
            </w:rPr>
          </w:pPr>
          <w:hyperlink w:anchor="_Toc231364980" w:history="1">
            <w:r w:rsidRPr="00020C4F">
              <w:rPr>
                <w:rStyle w:val="Hyperlink"/>
                <w:noProof/>
              </w:rPr>
              <w:t>3. Queryability</w:t>
            </w:r>
            <w:r>
              <w:rPr>
                <w:noProof/>
              </w:rPr>
              <w:tab/>
            </w:r>
            <w:r>
              <w:rPr>
                <w:noProof/>
              </w:rPr>
              <w:fldChar w:fldCharType="begin"/>
            </w:r>
            <w:r>
              <w:rPr>
                <w:noProof/>
              </w:rPr>
              <w:instrText xml:space="preserve"> PAGEREF _Toc231364980 \h </w:instrText>
            </w:r>
            <w:r>
              <w:rPr>
                <w:noProof/>
              </w:rPr>
            </w:r>
            <w:r>
              <w:rPr>
                <w:noProof/>
              </w:rPr>
              <w:fldChar w:fldCharType="separate"/>
            </w:r>
            <w:r>
              <w:rPr>
                <w:noProof/>
              </w:rPr>
              <w:t>16</w:t>
            </w:r>
            <w:r>
              <w:rPr>
                <w:noProof/>
              </w:rPr>
              <w:fldChar w:fldCharType="end"/>
            </w:r>
          </w:hyperlink>
        </w:p>
        <w:p w14:paraId="79C8D1BE" w14:textId="77777777" w:rsidR="006A5F14" w:rsidRDefault="006A5F14">
          <w:pPr>
            <w:pStyle w:val="TOC2"/>
            <w:tabs>
              <w:tab w:val="right" w:leader="dot" w:pos="9350"/>
            </w:tabs>
            <w:rPr>
              <w:noProof/>
            </w:rPr>
          </w:pPr>
          <w:hyperlink w:anchor="_Toc231364981" w:history="1">
            <w:r w:rsidRPr="00020C4F">
              <w:rPr>
                <w:rStyle w:val="Hyperlink"/>
                <w:noProof/>
              </w:rPr>
              <w:t>C. Phase 3: Long-Term — Rulemaking</w:t>
            </w:r>
            <w:r>
              <w:rPr>
                <w:noProof/>
              </w:rPr>
              <w:tab/>
            </w:r>
            <w:r>
              <w:rPr>
                <w:noProof/>
              </w:rPr>
              <w:fldChar w:fldCharType="begin"/>
            </w:r>
            <w:r>
              <w:rPr>
                <w:noProof/>
              </w:rPr>
              <w:instrText xml:space="preserve"> PAGEREF _Toc231364981 \h </w:instrText>
            </w:r>
            <w:r>
              <w:rPr>
                <w:noProof/>
              </w:rPr>
            </w:r>
            <w:r>
              <w:rPr>
                <w:noProof/>
              </w:rPr>
              <w:fldChar w:fldCharType="separate"/>
            </w:r>
            <w:r>
              <w:rPr>
                <w:noProof/>
              </w:rPr>
              <w:t>16</w:t>
            </w:r>
            <w:r>
              <w:rPr>
                <w:noProof/>
              </w:rPr>
              <w:fldChar w:fldCharType="end"/>
            </w:r>
          </w:hyperlink>
        </w:p>
        <w:p w14:paraId="28236913" w14:textId="77777777" w:rsidR="006A5F14" w:rsidRDefault="006A5F14">
          <w:pPr>
            <w:pStyle w:val="TOC3"/>
            <w:tabs>
              <w:tab w:val="right" w:leader="dot" w:pos="9350"/>
            </w:tabs>
            <w:rPr>
              <w:noProof/>
            </w:rPr>
          </w:pPr>
          <w:hyperlink w:anchor="_Toc231364982" w:history="1">
            <w:r w:rsidRPr="00020C4F">
              <w:rPr>
                <w:rStyle w:val="Hyperlink"/>
                <w:noProof/>
              </w:rPr>
              <w:t>1. Objective</w:t>
            </w:r>
            <w:r>
              <w:rPr>
                <w:noProof/>
              </w:rPr>
              <w:tab/>
            </w:r>
            <w:r>
              <w:rPr>
                <w:noProof/>
              </w:rPr>
              <w:fldChar w:fldCharType="begin"/>
            </w:r>
            <w:r>
              <w:rPr>
                <w:noProof/>
              </w:rPr>
              <w:instrText xml:space="preserve"> PAGEREF _Toc231364982 \h </w:instrText>
            </w:r>
            <w:r>
              <w:rPr>
                <w:noProof/>
              </w:rPr>
            </w:r>
            <w:r>
              <w:rPr>
                <w:noProof/>
              </w:rPr>
              <w:fldChar w:fldCharType="separate"/>
            </w:r>
            <w:r>
              <w:rPr>
                <w:noProof/>
              </w:rPr>
              <w:t>16</w:t>
            </w:r>
            <w:r>
              <w:rPr>
                <w:noProof/>
              </w:rPr>
              <w:fldChar w:fldCharType="end"/>
            </w:r>
          </w:hyperlink>
        </w:p>
        <w:p w14:paraId="7182CBE6" w14:textId="77777777" w:rsidR="006A5F14" w:rsidRDefault="006A5F14">
          <w:pPr>
            <w:pStyle w:val="TOC3"/>
            <w:tabs>
              <w:tab w:val="right" w:leader="dot" w:pos="9350"/>
            </w:tabs>
            <w:rPr>
              <w:noProof/>
            </w:rPr>
          </w:pPr>
          <w:hyperlink w:anchor="_Toc231364983" w:history="1">
            <w:r w:rsidRPr="00020C4F">
              <w:rPr>
                <w:rStyle w:val="Hyperlink"/>
                <w:noProof/>
              </w:rPr>
              <w:t>2. Definitional Approach</w:t>
            </w:r>
            <w:r>
              <w:rPr>
                <w:noProof/>
              </w:rPr>
              <w:tab/>
            </w:r>
            <w:r>
              <w:rPr>
                <w:noProof/>
              </w:rPr>
              <w:fldChar w:fldCharType="begin"/>
            </w:r>
            <w:r>
              <w:rPr>
                <w:noProof/>
              </w:rPr>
              <w:instrText xml:space="preserve"> PAGEREF _Toc231364983 \h </w:instrText>
            </w:r>
            <w:r>
              <w:rPr>
                <w:noProof/>
              </w:rPr>
            </w:r>
            <w:r>
              <w:rPr>
                <w:noProof/>
              </w:rPr>
              <w:fldChar w:fldCharType="separate"/>
            </w:r>
            <w:r>
              <w:rPr>
                <w:noProof/>
              </w:rPr>
              <w:t>16</w:t>
            </w:r>
            <w:r>
              <w:rPr>
                <w:noProof/>
              </w:rPr>
              <w:fldChar w:fldCharType="end"/>
            </w:r>
          </w:hyperlink>
        </w:p>
        <w:p w14:paraId="41D53A21" w14:textId="77777777" w:rsidR="006A5F14" w:rsidRDefault="006A5F14">
          <w:pPr>
            <w:pStyle w:val="TOC3"/>
            <w:tabs>
              <w:tab w:val="right" w:leader="dot" w:pos="9350"/>
            </w:tabs>
            <w:rPr>
              <w:noProof/>
            </w:rPr>
          </w:pPr>
          <w:hyperlink w:anchor="_Toc231364984" w:history="1">
            <w:r w:rsidRPr="00020C4F">
              <w:rPr>
                <w:rStyle w:val="Hyperlink"/>
                <w:noProof/>
              </w:rPr>
              <w:t>3. Additional Rulemaking Considerations</w:t>
            </w:r>
            <w:r>
              <w:rPr>
                <w:noProof/>
              </w:rPr>
              <w:tab/>
            </w:r>
            <w:r>
              <w:rPr>
                <w:noProof/>
              </w:rPr>
              <w:fldChar w:fldCharType="begin"/>
            </w:r>
            <w:r>
              <w:rPr>
                <w:noProof/>
              </w:rPr>
              <w:instrText xml:space="preserve"> PAGEREF _Toc231364984 \h </w:instrText>
            </w:r>
            <w:r>
              <w:rPr>
                <w:noProof/>
              </w:rPr>
            </w:r>
            <w:r>
              <w:rPr>
                <w:noProof/>
              </w:rPr>
              <w:fldChar w:fldCharType="separate"/>
            </w:r>
            <w:r>
              <w:rPr>
                <w:noProof/>
              </w:rPr>
              <w:t>17</w:t>
            </w:r>
            <w:r>
              <w:rPr>
                <w:noProof/>
              </w:rPr>
              <w:fldChar w:fldCharType="end"/>
            </w:r>
          </w:hyperlink>
        </w:p>
        <w:p w14:paraId="2C23DC55" w14:textId="77777777" w:rsidR="006A5F14" w:rsidRDefault="006A5F14">
          <w:pPr>
            <w:pStyle w:val="TOC1"/>
            <w:tabs>
              <w:tab w:val="right" w:leader="dot" w:pos="9350"/>
            </w:tabs>
            <w:rPr>
              <w:noProof/>
            </w:rPr>
          </w:pPr>
          <w:hyperlink w:anchor="_Toc231364985" w:history="1">
            <w:r w:rsidRPr="00020C4F">
              <w:rPr>
                <w:rStyle w:val="Hyperlink"/>
                <w:noProof/>
              </w:rPr>
              <w:t>VII. The Self-Selecting Facilitation Condition</w:t>
            </w:r>
            <w:r>
              <w:rPr>
                <w:noProof/>
              </w:rPr>
              <w:tab/>
            </w:r>
            <w:r>
              <w:rPr>
                <w:noProof/>
              </w:rPr>
              <w:fldChar w:fldCharType="begin"/>
            </w:r>
            <w:r>
              <w:rPr>
                <w:noProof/>
              </w:rPr>
              <w:instrText xml:space="preserve"> PAGEREF _Toc231364985 \h </w:instrText>
            </w:r>
            <w:r>
              <w:rPr>
                <w:noProof/>
              </w:rPr>
            </w:r>
            <w:r>
              <w:rPr>
                <w:noProof/>
              </w:rPr>
              <w:fldChar w:fldCharType="separate"/>
            </w:r>
            <w:r>
              <w:rPr>
                <w:noProof/>
              </w:rPr>
              <w:t>18</w:t>
            </w:r>
            <w:r>
              <w:rPr>
                <w:noProof/>
              </w:rPr>
              <w:fldChar w:fldCharType="end"/>
            </w:r>
          </w:hyperlink>
        </w:p>
        <w:p w14:paraId="76C86245" w14:textId="77777777" w:rsidR="006A5F14" w:rsidRDefault="006A5F14">
          <w:pPr>
            <w:pStyle w:val="TOC2"/>
            <w:tabs>
              <w:tab w:val="right" w:leader="dot" w:pos="9350"/>
            </w:tabs>
            <w:rPr>
              <w:noProof/>
            </w:rPr>
          </w:pPr>
          <w:hyperlink w:anchor="_Toc231364986" w:history="1">
            <w:r w:rsidRPr="00020C4F">
              <w:rPr>
                <w:rStyle w:val="Hyperlink"/>
                <w:noProof/>
              </w:rPr>
              <w:t>A. As Legal Justification</w:t>
            </w:r>
            <w:r>
              <w:rPr>
                <w:noProof/>
              </w:rPr>
              <w:tab/>
            </w:r>
            <w:r>
              <w:rPr>
                <w:noProof/>
              </w:rPr>
              <w:fldChar w:fldCharType="begin"/>
            </w:r>
            <w:r>
              <w:rPr>
                <w:noProof/>
              </w:rPr>
              <w:instrText xml:space="preserve"> PAGEREF _Toc231364986 \h </w:instrText>
            </w:r>
            <w:r>
              <w:rPr>
                <w:noProof/>
              </w:rPr>
            </w:r>
            <w:r>
              <w:rPr>
                <w:noProof/>
              </w:rPr>
              <w:fldChar w:fldCharType="separate"/>
            </w:r>
            <w:r>
              <w:rPr>
                <w:noProof/>
              </w:rPr>
              <w:t>18</w:t>
            </w:r>
            <w:r>
              <w:rPr>
                <w:noProof/>
              </w:rPr>
              <w:fldChar w:fldCharType="end"/>
            </w:r>
          </w:hyperlink>
        </w:p>
        <w:p w14:paraId="006EF685" w14:textId="77777777" w:rsidR="006A5F14" w:rsidRDefault="006A5F14">
          <w:pPr>
            <w:pStyle w:val="TOC2"/>
            <w:tabs>
              <w:tab w:val="right" w:leader="dot" w:pos="9350"/>
            </w:tabs>
            <w:rPr>
              <w:noProof/>
            </w:rPr>
          </w:pPr>
          <w:hyperlink w:anchor="_Toc231364987" w:history="1">
            <w:r w:rsidRPr="00020C4F">
              <w:rPr>
                <w:rStyle w:val="Hyperlink"/>
                <w:noProof/>
              </w:rPr>
              <w:t>B. As Definitional Mechanism</w:t>
            </w:r>
            <w:r>
              <w:rPr>
                <w:noProof/>
              </w:rPr>
              <w:tab/>
            </w:r>
            <w:r>
              <w:rPr>
                <w:noProof/>
              </w:rPr>
              <w:fldChar w:fldCharType="begin"/>
            </w:r>
            <w:r>
              <w:rPr>
                <w:noProof/>
              </w:rPr>
              <w:instrText xml:space="preserve"> PAGEREF _Toc231364987 \h </w:instrText>
            </w:r>
            <w:r>
              <w:rPr>
                <w:noProof/>
              </w:rPr>
            </w:r>
            <w:r>
              <w:rPr>
                <w:noProof/>
              </w:rPr>
              <w:fldChar w:fldCharType="separate"/>
            </w:r>
            <w:r>
              <w:rPr>
                <w:noProof/>
              </w:rPr>
              <w:t>18</w:t>
            </w:r>
            <w:r>
              <w:rPr>
                <w:noProof/>
              </w:rPr>
              <w:fldChar w:fldCharType="end"/>
            </w:r>
          </w:hyperlink>
        </w:p>
        <w:p w14:paraId="3BF3ECC3" w14:textId="77777777" w:rsidR="006A5F14" w:rsidRDefault="006A5F14">
          <w:pPr>
            <w:pStyle w:val="TOC2"/>
            <w:tabs>
              <w:tab w:val="right" w:leader="dot" w:pos="9350"/>
            </w:tabs>
            <w:rPr>
              <w:noProof/>
            </w:rPr>
          </w:pPr>
          <w:hyperlink w:anchor="_Toc231364988" w:history="1">
            <w:r w:rsidRPr="00020C4F">
              <w:rPr>
                <w:rStyle w:val="Hyperlink"/>
                <w:noProof/>
              </w:rPr>
              <w:t>C. As Policy Safeguard</w:t>
            </w:r>
            <w:r>
              <w:rPr>
                <w:noProof/>
              </w:rPr>
              <w:tab/>
            </w:r>
            <w:r>
              <w:rPr>
                <w:noProof/>
              </w:rPr>
              <w:fldChar w:fldCharType="begin"/>
            </w:r>
            <w:r>
              <w:rPr>
                <w:noProof/>
              </w:rPr>
              <w:instrText xml:space="preserve"> PAGEREF _Toc231364988 \h </w:instrText>
            </w:r>
            <w:r>
              <w:rPr>
                <w:noProof/>
              </w:rPr>
            </w:r>
            <w:r>
              <w:rPr>
                <w:noProof/>
              </w:rPr>
              <w:fldChar w:fldCharType="separate"/>
            </w:r>
            <w:r>
              <w:rPr>
                <w:noProof/>
              </w:rPr>
              <w:t>18</w:t>
            </w:r>
            <w:r>
              <w:rPr>
                <w:noProof/>
              </w:rPr>
              <w:fldChar w:fldCharType="end"/>
            </w:r>
          </w:hyperlink>
        </w:p>
        <w:p w14:paraId="17CEC145" w14:textId="77777777" w:rsidR="006A5F14" w:rsidRDefault="006A5F14">
          <w:pPr>
            <w:pStyle w:val="TOC1"/>
            <w:tabs>
              <w:tab w:val="right" w:leader="dot" w:pos="9350"/>
            </w:tabs>
            <w:rPr>
              <w:noProof/>
            </w:rPr>
          </w:pPr>
          <w:hyperlink w:anchor="_Toc231364989" w:history="1">
            <w:r w:rsidRPr="00020C4F">
              <w:rPr>
                <w:rStyle w:val="Hyperlink"/>
                <w:noProof/>
              </w:rPr>
              <w:t>VIII. Comparison of Licensing Approaches</w:t>
            </w:r>
            <w:r>
              <w:rPr>
                <w:noProof/>
              </w:rPr>
              <w:tab/>
            </w:r>
            <w:r>
              <w:rPr>
                <w:noProof/>
              </w:rPr>
              <w:fldChar w:fldCharType="begin"/>
            </w:r>
            <w:r>
              <w:rPr>
                <w:noProof/>
              </w:rPr>
              <w:instrText xml:space="preserve"> PAGEREF _Toc231364989 \h </w:instrText>
            </w:r>
            <w:r>
              <w:rPr>
                <w:noProof/>
              </w:rPr>
            </w:r>
            <w:r>
              <w:rPr>
                <w:noProof/>
              </w:rPr>
              <w:fldChar w:fldCharType="separate"/>
            </w:r>
            <w:r>
              <w:rPr>
                <w:noProof/>
              </w:rPr>
              <w:t>19</w:t>
            </w:r>
            <w:r>
              <w:rPr>
                <w:noProof/>
              </w:rPr>
              <w:fldChar w:fldCharType="end"/>
            </w:r>
          </w:hyperlink>
        </w:p>
        <w:p w14:paraId="71D93D7E" w14:textId="77777777" w:rsidR="006A5F14" w:rsidRDefault="006A5F14">
          <w:pPr>
            <w:pStyle w:val="TOC1"/>
            <w:tabs>
              <w:tab w:val="right" w:leader="dot" w:pos="9350"/>
            </w:tabs>
            <w:rPr>
              <w:noProof/>
            </w:rPr>
          </w:pPr>
          <w:hyperlink w:anchor="_Toc231364990" w:history="1">
            <w:r w:rsidRPr="00020C4F">
              <w:rPr>
                <w:rStyle w:val="Hyperlink"/>
                <w:noProof/>
              </w:rPr>
              <w:t>IX. Special Event Definition: Reference Criteria Summary</w:t>
            </w:r>
            <w:r>
              <w:rPr>
                <w:noProof/>
              </w:rPr>
              <w:tab/>
            </w:r>
            <w:r>
              <w:rPr>
                <w:noProof/>
              </w:rPr>
              <w:fldChar w:fldCharType="begin"/>
            </w:r>
            <w:r>
              <w:rPr>
                <w:noProof/>
              </w:rPr>
              <w:instrText xml:space="preserve"> PAGEREF _Toc231364990 \h </w:instrText>
            </w:r>
            <w:r>
              <w:rPr>
                <w:noProof/>
              </w:rPr>
            </w:r>
            <w:r>
              <w:rPr>
                <w:noProof/>
              </w:rPr>
              <w:fldChar w:fldCharType="separate"/>
            </w:r>
            <w:r>
              <w:rPr>
                <w:noProof/>
              </w:rPr>
              <w:t>20</w:t>
            </w:r>
            <w:r>
              <w:rPr>
                <w:noProof/>
              </w:rPr>
              <w:fldChar w:fldCharType="end"/>
            </w:r>
          </w:hyperlink>
        </w:p>
        <w:p w14:paraId="36190B47" w14:textId="77777777" w:rsidR="006A5F14" w:rsidRDefault="006A5F14">
          <w:pPr>
            <w:pStyle w:val="TOC1"/>
            <w:tabs>
              <w:tab w:val="right" w:leader="dot" w:pos="9350"/>
            </w:tabs>
            <w:rPr>
              <w:noProof/>
            </w:rPr>
          </w:pPr>
          <w:hyperlink w:anchor="_Toc231364991" w:history="1">
            <w:r w:rsidRPr="00020C4F">
              <w:rPr>
                <w:rStyle w:val="Hyperlink"/>
                <w:noProof/>
              </w:rPr>
              <w:t>X. Conclusion</w:t>
            </w:r>
            <w:r>
              <w:rPr>
                <w:noProof/>
              </w:rPr>
              <w:tab/>
            </w:r>
            <w:r>
              <w:rPr>
                <w:noProof/>
              </w:rPr>
              <w:fldChar w:fldCharType="begin"/>
            </w:r>
            <w:r>
              <w:rPr>
                <w:noProof/>
              </w:rPr>
              <w:instrText xml:space="preserve"> PAGEREF _Toc231364991 \h </w:instrText>
            </w:r>
            <w:r>
              <w:rPr>
                <w:noProof/>
              </w:rPr>
            </w:r>
            <w:r>
              <w:rPr>
                <w:noProof/>
              </w:rPr>
              <w:fldChar w:fldCharType="separate"/>
            </w:r>
            <w:r>
              <w:rPr>
                <w:noProof/>
              </w:rPr>
              <w:t>21</w:t>
            </w:r>
            <w:r>
              <w:rPr>
                <w:noProof/>
              </w:rPr>
              <w:fldChar w:fldCharType="end"/>
            </w:r>
          </w:hyperlink>
        </w:p>
        <w:p w14:paraId="79D26A0C" w14:textId="77777777" w:rsidR="006C6BDE" w:rsidRDefault="00000000">
          <w:r>
            <w:fldChar w:fldCharType="end"/>
          </w:r>
        </w:p>
      </w:sdtContent>
    </w:sdt>
    <w:p w14:paraId="183B4499" w14:textId="77777777" w:rsidR="006C6BDE" w:rsidRDefault="00000000">
      <w:r>
        <w:br w:type="page"/>
      </w:r>
    </w:p>
    <w:p w14:paraId="34C36D56" w14:textId="77777777" w:rsidR="006C6BDE" w:rsidRDefault="00000000">
      <w:pPr>
        <w:pStyle w:val="Heading1"/>
      </w:pPr>
      <w:bookmarkStart w:id="1" w:name="_Toc231364946"/>
      <w:r>
        <w:lastRenderedPageBreak/>
        <w:t>I. Executive Summary</w:t>
      </w:r>
      <w:bookmarkEnd w:id="1"/>
    </w:p>
    <w:p w14:paraId="48464838" w14:textId="77777777" w:rsidR="006C6BDE" w:rsidRDefault="00000000">
      <w:pPr>
        <w:spacing w:after="200"/>
      </w:pPr>
      <w:r>
        <w:t>The Federal Communications Commission has long licensed spectrum for live event production—sports broadcasts, concerts, mass public gatherings—through the Experimental Radio Service under Part 5 of its rules.</w:t>
      </w:r>
      <w:r>
        <w:rPr>
          <w:rStyle w:val="FootnoteReference"/>
        </w:rPr>
        <w:footnoteReference w:id="1"/>
      </w:r>
      <w:r>
        <w:t xml:space="preserve"> Entities such as Broadcast Sports International and Goodyear Tire and Rubber Company routinely obtain Special Temporary Authority (STA) under § 5.61 to deploy wireless camera systems, telemetry links, and aerial platforms at events that are not, in any traditional sense, experimental. This practice has persisted for decades because no other licensing framework adequately accommodates the unique operational profile of event-based spectrum use: short duration, variable locations, high bandwidth, and time-critical deployment.</w:t>
      </w:r>
    </w:p>
    <w:p w14:paraId="4B4D6D3A" w14:textId="77777777" w:rsidR="006C6BDE" w:rsidRDefault="00000000">
      <w:pPr>
        <w:spacing w:after="200"/>
      </w:pPr>
      <w:r>
        <w:t>The result is an administrative regime that imposes substantial filing burdens on applicants and Commission staff alike, with no commensurate regulatory benefit. The Wireless Microphone Spectrum Alliance has characterized the STA process as “ad hoc, unpredictable, burdensome on staff and simply not a viable long-term solution.”</w:t>
      </w:r>
      <w:r>
        <w:rPr>
          <w:rStyle w:val="FootnoteReference"/>
        </w:rPr>
        <w:footnoteReference w:id="2"/>
      </w:r>
      <w:r>
        <w:t xml:space="preserve"> Broadcast Sports International alone filed over 100 EX-ST applications in a single year.</w:t>
      </w:r>
      <w:r>
        <w:rPr>
          <w:rStyle w:val="FootnoteReference"/>
        </w:rPr>
        <w:footnoteReference w:id="3"/>
      </w:r>
      <w:r>
        <w:t xml:space="preserve"> Meanwhile, the Commission’s recent grant of a sweeping Part 90 STA for the LA28 Olympics—with nationwide scope and waivers of dozens of rules—demonstrates that the existing licensing apparatus is being stretched to its limits.</w:t>
      </w:r>
      <w:r>
        <w:rPr>
          <w:rStyle w:val="FootnoteReference"/>
        </w:rPr>
        <w:footnoteReference w:id="4"/>
      </w:r>
    </w:p>
    <w:p w14:paraId="74641E96" w14:textId="77777777" w:rsidR="006C6BDE" w:rsidRDefault="00000000">
      <w:pPr>
        <w:spacing w:after="200"/>
      </w:pPr>
      <w:r>
        <w:t xml:space="preserve">This memorandum proposes a three-phase regulatory framework to rationalize special event spectrum licensing within Part 5. The framework is grounded in a legal theory that distinguishes event production STAs from temporary authority in other services: experimental event licensees carry an implicit obligation to coordinate with and facilitate later-in-time experimental deployments at the same event. This </w:t>
      </w:r>
      <w:r>
        <w:rPr>
          <w:i/>
          <w:iCs/>
        </w:rPr>
        <w:t>experimentation facilitation</w:t>
      </w:r>
      <w:r>
        <w:t xml:space="preserve"> rationale—rooted in Section 303(g) of the Communications Act</w:t>
      </w:r>
      <w:r>
        <w:rPr>
          <w:rStyle w:val="FootnoteReference"/>
        </w:rPr>
        <w:footnoteReference w:id="5"/>
      </w:r>
      <w:r>
        <w:t>—provides the legal foundation for treating event production as a legitimate Part 5 activity, not merely an administrative convenience.</w:t>
      </w:r>
    </w:p>
    <w:p w14:paraId="3FF65C80" w14:textId="77777777" w:rsidR="006C6BDE" w:rsidRDefault="00000000">
      <w:pPr>
        <w:spacing w:after="200"/>
      </w:pPr>
      <w:r>
        <w:t>The three phases are: (1) immediate administrative action to issue nationwide Part 5 licenses with location-filing conditions, announced via Public Notice; (2) near-term modernization of the Experimental Licensing System (ELS) database to support self-service location activations; and (3) long-term rulemaking to codify a “special event” purpose within the Experimental Radio Service, with the facilitation condition serving as a self-selecting definitional mechanism to prevent abuse.</w:t>
      </w:r>
    </w:p>
    <w:p w14:paraId="694765A7" w14:textId="77777777" w:rsidR="006C6BDE" w:rsidRDefault="00000000">
      <w:r>
        <w:lastRenderedPageBreak/>
        <w:br w:type="page"/>
      </w:r>
    </w:p>
    <w:p w14:paraId="7313989F" w14:textId="77777777" w:rsidR="006C6BDE" w:rsidRDefault="00000000">
      <w:pPr>
        <w:pStyle w:val="Heading1"/>
      </w:pPr>
      <w:bookmarkStart w:id="2" w:name="_Toc231364947"/>
      <w:r>
        <w:lastRenderedPageBreak/>
        <w:t>II. Background: The Experimental Radio Service and Special Events</w:t>
      </w:r>
      <w:bookmarkEnd w:id="2"/>
    </w:p>
    <w:p w14:paraId="51D30D9D" w14:textId="77777777" w:rsidR="006C6BDE" w:rsidRDefault="00000000">
      <w:pPr>
        <w:pStyle w:val="Heading2"/>
      </w:pPr>
      <w:bookmarkStart w:id="3" w:name="_Toc231364948"/>
      <w:r>
        <w:t>A. Part 5 Overview</w:t>
      </w:r>
      <w:bookmarkEnd w:id="3"/>
    </w:p>
    <w:p w14:paraId="28BE11A2" w14:textId="77777777" w:rsidR="006C6BDE" w:rsidRDefault="00000000">
      <w:pPr>
        <w:spacing w:after="200"/>
      </w:pPr>
      <w:r>
        <w:t>The Experimental Radio Service, codified at 47 C.F.R. Part 5, authorizes operations for “purposes of experimentation, product development, [and] market trials.”</w:t>
      </w:r>
      <w:r>
        <w:rPr>
          <w:rStyle w:val="FootnoteReference"/>
        </w:rPr>
        <w:footnoteReference w:id="6"/>
      </w:r>
      <w:r>
        <w:t xml:space="preserve"> The Commission derives its authority to establish this service from Section 303(g) of the Communications Act, which directs it to “study new uses for radio, provide for experimental uses of frequencies, and generally encourage the larger and more effective use of radio in the public interest.”</w:t>
      </w:r>
      <w:r>
        <w:rPr>
          <w:rStyle w:val="FootnoteReference"/>
        </w:rPr>
        <w:footnoteReference w:id="7"/>
      </w:r>
      <w:r>
        <w:t xml:space="preserve"> Part 5 encompasses several license types, including conventional experimental licenses, broadcast experimental licenses, and—critically for present purposes—Special Temporary Authority (STA) under § 5.61, which permits short-term operations that cannot wait for the full licensing process.</w:t>
      </w:r>
    </w:p>
    <w:p w14:paraId="1EB74646" w14:textId="77777777" w:rsidR="006C6BDE" w:rsidRDefault="00000000">
      <w:pPr>
        <w:pStyle w:val="Heading2"/>
      </w:pPr>
      <w:bookmarkStart w:id="4" w:name="_Toc231364949"/>
      <w:r>
        <w:t>B. Current Practice: Event Production via Experimental STA</w:t>
      </w:r>
      <w:bookmarkEnd w:id="4"/>
    </w:p>
    <w:p w14:paraId="780FBDC6" w14:textId="77777777" w:rsidR="006C6BDE" w:rsidRDefault="00000000">
      <w:pPr>
        <w:spacing w:after="200"/>
      </w:pPr>
      <w:r>
        <w:t>A substantial volume of Part 5 STA activity involves spectrum use for live event production at sporting events, concerts, and other mass gatherings. These operations typically involve high-bandwidth wireless camera systems (often COFDM at 3.6 GHz), telemetry links, aerial broadcast platforms, and ancillary communications supporting event logistics. The operations are time-limited (typically days to weeks), location-specific, and often require rapid deployment.</w:t>
      </w:r>
    </w:p>
    <w:p w14:paraId="0EF046AD" w14:textId="77777777" w:rsidR="006C6BDE" w:rsidRDefault="00000000">
      <w:pPr>
        <w:spacing w:after="200"/>
      </w:pPr>
      <w:r>
        <w:rPr>
          <w:b/>
          <w:bCs/>
        </w:rPr>
        <w:t>Broadcast Sports International (BSI)</w:t>
      </w:r>
      <w:r>
        <w:t xml:space="preserve"> exemplifies this pattern. BSI filed over 100 EX-ST applications in 2021 alone, using station class MO designations for COFDM camera systems operating at 3.6 GHz to cover NASCAR races, NFL games, and other live sporting events.</w:t>
      </w:r>
      <w:r>
        <w:rPr>
          <w:rStyle w:val="FootnoteReference"/>
        </w:rPr>
        <w:footnoteReference w:id="8"/>
      </w:r>
      <w:r>
        <w:t xml:space="preserve"> Each filing represents a discrete event requiring individual Commission review and grant—for operations that are functionally identical from event to event, differing only in location and date.</w:t>
      </w:r>
    </w:p>
    <w:p w14:paraId="32D40422" w14:textId="77777777" w:rsidR="006C6BDE" w:rsidRDefault="00000000">
      <w:pPr>
        <w:spacing w:after="200"/>
      </w:pPr>
      <w:r>
        <w:rPr>
          <w:b/>
          <w:bCs/>
        </w:rPr>
        <w:t>Goodyear Tire and Rubber Company</w:t>
      </w:r>
      <w:r>
        <w:t xml:space="preserve"> similarly obtains experimental STAs for its blimp-based aerial camera platforms, including operations in the 2.3 GHz Communications Service band for events such as the Rose Bowl.</w:t>
      </w:r>
      <w:r>
        <w:rPr>
          <w:rStyle w:val="FootnoteReference"/>
        </w:rPr>
        <w:footnoteReference w:id="9"/>
      </w:r>
      <w:r>
        <w:t xml:space="preserve"> These operations have been conducted for years under the experimental framework despite being routine commercial broadcast support.</w:t>
      </w:r>
    </w:p>
    <w:p w14:paraId="0AAF696B" w14:textId="77777777" w:rsidR="006C6BDE" w:rsidRDefault="00000000">
      <w:pPr>
        <w:pStyle w:val="Heading2"/>
      </w:pPr>
      <w:bookmarkStart w:id="5" w:name="_Toc231364950"/>
      <w:r>
        <w:t>C. The Administrative Burden</w:t>
      </w:r>
      <w:bookmarkEnd w:id="5"/>
    </w:p>
    <w:p w14:paraId="066BD1EA" w14:textId="77777777" w:rsidR="006C6BDE" w:rsidRDefault="00000000">
      <w:pPr>
        <w:spacing w:after="200"/>
      </w:pPr>
      <w:r>
        <w:lastRenderedPageBreak/>
        <w:t>The current filing-per-event model creates significant inefficiencies. Applicants must prepare and submit individual STA applications for each event, often on compressed timelines when event bookings are confirmed only weeks in advance. The Commission must individually review and grant each application, consuming staff resources for what are effectively routine authorizations. The North American Spectrum Alliance (NASPA)—a coalition including the NFL, MLB, UFL, USTA, and Fox Sports—has advocated for streamlined spectrum access,</w:t>
      </w:r>
      <w:r>
        <w:rPr>
          <w:rStyle w:val="FootnoteReference"/>
        </w:rPr>
        <w:footnoteReference w:id="10"/>
      </w:r>
      <w:r>
        <w:t xml:space="preserve"> and the WMSA has explicitly characterized the STA regime as unsustainable.</w:t>
      </w:r>
      <w:r>
        <w:rPr>
          <w:rStyle w:val="FootnoteReference"/>
        </w:rPr>
        <w:footnoteReference w:id="11"/>
      </w:r>
    </w:p>
    <w:p w14:paraId="7160BFA4" w14:textId="77777777" w:rsidR="006C6BDE" w:rsidRDefault="00000000">
      <w:pPr>
        <w:pStyle w:val="Heading2"/>
      </w:pPr>
      <w:bookmarkStart w:id="6" w:name="_Toc231364951"/>
      <w:r>
        <w:t>D. Adjacent Spectrum Pressures</w:t>
      </w:r>
      <w:bookmarkEnd w:id="6"/>
    </w:p>
    <w:p w14:paraId="27A4FB47" w14:textId="77777777" w:rsidR="006C6BDE" w:rsidRDefault="00000000">
      <w:pPr>
        <w:spacing w:after="200"/>
      </w:pPr>
      <w:r>
        <w:t>The pressure on experimental licensing is exacerbated by congestion in adjacent bands. The 2 GHz BAS band faces increasing congestion from DoD sharing obligations, while the introduction of Wi-Fi 6E in the 6 GHz band has created documented interference at multiple sports venues—four NFL sites, one MLB venue, and NCAA basketball tournament locations.</w:t>
      </w:r>
      <w:r>
        <w:rPr>
          <w:rStyle w:val="FootnoteReference"/>
        </w:rPr>
        <w:footnoteReference w:id="12"/>
      </w:r>
      <w:r>
        <w:t xml:space="preserve"> These pressures push event operators toward Part 5 experimental authority as their only viable path to spectrum access outside congested bands.</w:t>
      </w:r>
    </w:p>
    <w:p w14:paraId="7F48A0A4" w14:textId="77777777" w:rsidR="006C6BDE" w:rsidRDefault="00000000">
      <w:r>
        <w:br w:type="page"/>
      </w:r>
    </w:p>
    <w:p w14:paraId="2047A938" w14:textId="77777777" w:rsidR="006C6BDE" w:rsidRDefault="00000000">
      <w:pPr>
        <w:pStyle w:val="Heading1"/>
      </w:pPr>
      <w:bookmarkStart w:id="7" w:name="_Toc231364952"/>
      <w:r>
        <w:lastRenderedPageBreak/>
        <w:t>III. Legal Foundation: Why Event Production Belongs in Part 5</w:t>
      </w:r>
      <w:bookmarkEnd w:id="7"/>
    </w:p>
    <w:p w14:paraId="783383B6" w14:textId="77777777" w:rsidR="006C6BDE" w:rsidRDefault="00000000">
      <w:pPr>
        <w:pStyle w:val="Heading2"/>
      </w:pPr>
      <w:bookmarkStart w:id="8" w:name="_Toc231364953"/>
      <w:r>
        <w:t>A. Section 303(g) and the Broad Mandate</w:t>
      </w:r>
      <w:bookmarkEnd w:id="8"/>
    </w:p>
    <w:p w14:paraId="6B50CA10" w14:textId="77777777" w:rsidR="006C6BDE" w:rsidRDefault="00000000">
      <w:pPr>
        <w:spacing w:after="200"/>
      </w:pPr>
      <w:r>
        <w:t>Section 303(g) of the Communications Act provides a broad statutory mandate that extends beyond narrow laboratory experimentation. The Commission is directed to “generally encourage the larger and more effective use of radio in the public interest”—language that encompasses operational environments where new spectrum technologies are deployed, tested, and refined under real-world conditions.</w:t>
      </w:r>
      <w:r>
        <w:rPr>
          <w:rStyle w:val="FootnoteReference"/>
        </w:rPr>
        <w:footnoteReference w:id="13"/>
      </w:r>
      <w:r>
        <w:t xml:space="preserve"> Live events represent precisely such environments: they are complex RF settings where novel wireless systems must coexist with incumbent operations, interference must be managed in real time, and operational parameters are validated under conditions that laboratory testing cannot replicate.</w:t>
      </w:r>
    </w:p>
    <w:p w14:paraId="1564A5DA" w14:textId="77777777" w:rsidR="006C6BDE" w:rsidRDefault="00000000">
      <w:pPr>
        <w:pStyle w:val="Heading2"/>
      </w:pPr>
      <w:bookmarkStart w:id="9" w:name="_Toc231364954"/>
      <w:r>
        <w:t>B. The Experimentation Facilitation Rationale</w:t>
      </w:r>
      <w:bookmarkEnd w:id="9"/>
    </w:p>
    <w:p w14:paraId="513B4E2C" w14:textId="77777777" w:rsidR="006C6BDE" w:rsidRDefault="00000000">
      <w:pPr>
        <w:spacing w:after="200"/>
      </w:pPr>
      <w:r>
        <w:t xml:space="preserve">The strongest legal justification for maintaining event production within Part 5 is not mere administrative convenience but a substantive distinction unique to this service: </w:t>
      </w:r>
      <w:r>
        <w:rPr>
          <w:b/>
          <w:bCs/>
          <w:i/>
          <w:iCs/>
        </w:rPr>
        <w:t xml:space="preserve">experimental event </w:t>
      </w:r>
      <w:proofErr w:type="gramStart"/>
      <w:r>
        <w:rPr>
          <w:b/>
          <w:bCs/>
          <w:i/>
          <w:iCs/>
        </w:rPr>
        <w:t>licensees</w:t>
      </w:r>
      <w:proofErr w:type="gramEnd"/>
      <w:r>
        <w:rPr>
          <w:b/>
          <w:bCs/>
          <w:i/>
          <w:iCs/>
        </w:rPr>
        <w:t xml:space="preserve"> carry an implicit obligation to coordinate with and facilitate later-in-time experimental deployments at the same event.</w:t>
      </w:r>
      <w:r>
        <w:t xml:space="preserve"> This “experimentation facilitation” obligation has no parallel in other radio services.</w:t>
      </w:r>
    </w:p>
    <w:p w14:paraId="6B32CDBE" w14:textId="77777777" w:rsidR="006C6BDE" w:rsidRDefault="00000000">
      <w:pPr>
        <w:spacing w:after="200"/>
      </w:pPr>
      <w:r>
        <w:t xml:space="preserve">Consider a concrete example. Goodyear holds an experimental STA for its blimp’s 2.3 GHz camera link at the Rose Bowl. A technology company subsequently applies for experimental authority to deploy a novel drone-based light show system at the same event. Under Part 5’s cooperative framework, Goodyear is not merely expected to avoid interference—it is expected to </w:t>
      </w:r>
      <w:r>
        <w:rPr>
          <w:i/>
          <w:iCs/>
        </w:rPr>
        <w:t>affirmatively coordinate</w:t>
      </w:r>
      <w:r>
        <w:t xml:space="preserve"> with and </w:t>
      </w:r>
      <w:r>
        <w:rPr>
          <w:i/>
          <w:iCs/>
        </w:rPr>
        <w:t>facilitate</w:t>
      </w:r>
      <w:r>
        <w:t xml:space="preserve"> the drone operator’s experimental deployment. This facilitation obligation transforms the established event operator from a passive spectrum user into an active participant in the Commission’s Section 303(g) mandate to “provide for experimental uses of frequencies.”</w:t>
      </w:r>
    </w:p>
    <w:p w14:paraId="170BD11C" w14:textId="77777777" w:rsidR="006C6BDE" w:rsidRDefault="00000000">
      <w:pPr>
        <w:spacing w:after="200"/>
      </w:pPr>
      <w:r>
        <w:t>This distinction is legally significant because it provides a principled basis for Part 5 jurisdiction that goes beyond operational convenience:</w:t>
      </w:r>
    </w:p>
    <w:p w14:paraId="3B61E5FB" w14:textId="77777777" w:rsidR="006C6BDE" w:rsidRDefault="00000000">
      <w:pPr>
        <w:pStyle w:val="ListParagraph"/>
        <w:numPr>
          <w:ilvl w:val="0"/>
          <w:numId w:val="2"/>
        </w:numPr>
        <w:spacing w:after="80"/>
      </w:pPr>
      <w:r>
        <w:rPr>
          <w:b/>
          <w:bCs/>
        </w:rPr>
        <w:t>Part 74 BAS licensees</w:t>
      </w:r>
      <w:r>
        <w:t xml:space="preserve"> have no obligation to facilitate experiments at their events. Their license authorizes broadcast auxiliary operations, full stop.</w:t>
      </w:r>
    </w:p>
    <w:p w14:paraId="35C09A9D" w14:textId="77777777" w:rsidR="006C6BDE" w:rsidRDefault="00000000">
      <w:pPr>
        <w:pStyle w:val="ListParagraph"/>
        <w:numPr>
          <w:ilvl w:val="0"/>
          <w:numId w:val="2"/>
        </w:numPr>
        <w:spacing w:after="80"/>
      </w:pPr>
      <w:r>
        <w:rPr>
          <w:b/>
          <w:bCs/>
        </w:rPr>
        <w:t>Part 90 STA holders</w:t>
      </w:r>
      <w:r>
        <w:t xml:space="preserve"> operate under land mobile authority with no experimental facilitation mandate.</w:t>
      </w:r>
    </w:p>
    <w:p w14:paraId="38F83700" w14:textId="77777777" w:rsidR="006C6BDE" w:rsidRDefault="00000000">
      <w:pPr>
        <w:pStyle w:val="ListParagraph"/>
        <w:numPr>
          <w:ilvl w:val="0"/>
          <w:numId w:val="2"/>
        </w:numPr>
        <w:spacing w:after="80"/>
      </w:pPr>
      <w:r>
        <w:rPr>
          <w:b/>
          <w:bCs/>
        </w:rPr>
        <w:t>Part 5 event licensees</w:t>
      </w:r>
      <w:r>
        <w:t xml:space="preserve">, by contrast, operate within a framework where their very presence creates the coordination ecosystem through which genuine experiments can occur at scale events. Their license, even if not itself an </w:t>
      </w:r>
      <w:r>
        <w:lastRenderedPageBreak/>
        <w:t xml:space="preserve">experiment, is expected to </w:t>
      </w:r>
      <w:r>
        <w:rPr>
          <w:i/>
          <w:iCs/>
        </w:rPr>
        <w:t>facilitate</w:t>
      </w:r>
      <w:r>
        <w:t xml:space="preserve"> </w:t>
      </w:r>
      <w:proofErr w:type="gramStart"/>
      <w:r>
        <w:t>experimentation—a</w:t>
      </w:r>
      <w:proofErr w:type="gramEnd"/>
      <w:r>
        <w:t xml:space="preserve"> purpose that is squarely within Part 5’s statutory foundation.</w:t>
      </w:r>
    </w:p>
    <w:p w14:paraId="2562DD28" w14:textId="77777777" w:rsidR="006C6BDE" w:rsidRDefault="00000000">
      <w:pPr>
        <w:spacing w:after="200"/>
      </w:pPr>
      <w:r>
        <w:t xml:space="preserve">This facilitation rationale also serves as a self-selecting mechanism: entities willing to accept a cooperation obligation with later-in-time </w:t>
      </w:r>
      <w:proofErr w:type="spellStart"/>
      <w:r>
        <w:t>experimentals</w:t>
      </w:r>
      <w:proofErr w:type="spellEnd"/>
      <w:r>
        <w:t xml:space="preserve"> are signaling genuine compatibility with the Part 5 framework, while those unwilling to accept such conditions would self-select out—reducing the risk of applicants seeking nationwide flexible licenses for purposes unrelated to the experimental service’s mission.</w:t>
      </w:r>
    </w:p>
    <w:p w14:paraId="5CCB1F6C" w14:textId="77777777" w:rsidR="006C6BDE" w:rsidRDefault="00000000">
      <w:pPr>
        <w:pStyle w:val="Heading2"/>
      </w:pPr>
      <w:bookmarkStart w:id="10" w:name="_Toc231364955"/>
      <w:r>
        <w:t>C. Distinction from STAs in Other Services</w:t>
      </w:r>
      <w:bookmarkEnd w:id="10"/>
    </w:p>
    <w:p w14:paraId="77814E8B" w14:textId="77777777" w:rsidR="006C6BDE" w:rsidRDefault="00000000">
      <w:pPr>
        <w:spacing w:after="200"/>
      </w:pPr>
      <w:r>
        <w:t xml:space="preserve">STAs exist across multiple radio services, but Part 5 STAs for event production are functionally distinct in several respects. First, they authorize operations that cannot be accommodated by any permanent license class—no service provides standing authority for the type of short-duration, variable-location, high-bandwidth spectrum access that event production requires. Second, unlike STAs granted to address equipment failures or bridge gaps in permanent licensing, </w:t>
      </w:r>
      <w:proofErr w:type="gramStart"/>
      <w:r>
        <w:t>event</w:t>
      </w:r>
      <w:proofErr w:type="gramEnd"/>
      <w:r>
        <w:t xml:space="preserve"> STAs are the intended operational model, not a stopgap. Third, and most importantly, Part 5 STAs uniquely carry the facilitation obligation discussed above, which ties them to the experimental service’s core statutory purpose.</w:t>
      </w:r>
    </w:p>
    <w:p w14:paraId="36AF224F" w14:textId="77777777" w:rsidR="006C6BDE" w:rsidRDefault="00000000">
      <w:r>
        <w:br w:type="page"/>
      </w:r>
    </w:p>
    <w:p w14:paraId="77C3F541" w14:textId="77777777" w:rsidR="006C6BDE" w:rsidRDefault="00000000">
      <w:pPr>
        <w:pStyle w:val="Heading1"/>
      </w:pPr>
      <w:bookmarkStart w:id="11" w:name="_Toc231364956"/>
      <w:r>
        <w:lastRenderedPageBreak/>
        <w:t>IV. Existing Frameworks for Defining “Special Events”</w:t>
      </w:r>
      <w:bookmarkEnd w:id="11"/>
    </w:p>
    <w:p w14:paraId="33A4C689" w14:textId="77777777" w:rsidR="006C6BDE" w:rsidRDefault="00000000">
      <w:pPr>
        <w:spacing w:after="200"/>
      </w:pPr>
      <w:r>
        <w:t>Any regulatory proposal must grapple with the definitional question: what constitutes a “special event” for purposes of spectrum licensing? Multiple federal, state, and local frameworks provide independently verifiable criteria that could inform—though not necessarily control—an FCC definition.</w:t>
      </w:r>
    </w:p>
    <w:p w14:paraId="53613C6D" w14:textId="77777777" w:rsidR="006C6BDE" w:rsidRDefault="00000000">
      <w:pPr>
        <w:pStyle w:val="Heading2"/>
      </w:pPr>
      <w:bookmarkStart w:id="12" w:name="_Toc231364957"/>
      <w:r>
        <w:t>A. Federal Frameworks</w:t>
      </w:r>
      <w:bookmarkEnd w:id="12"/>
    </w:p>
    <w:p w14:paraId="54580673" w14:textId="77777777" w:rsidR="006C6BDE" w:rsidRDefault="00000000">
      <w:pPr>
        <w:pStyle w:val="Heading3"/>
      </w:pPr>
      <w:bookmarkStart w:id="13" w:name="_Toc231364958"/>
      <w:r>
        <w:t>1. DHS Special Event Assessment Rating (SEAR)</w:t>
      </w:r>
      <w:bookmarkEnd w:id="13"/>
    </w:p>
    <w:p w14:paraId="4FFC5659" w14:textId="77777777" w:rsidR="006C6BDE" w:rsidRDefault="00000000">
      <w:pPr>
        <w:spacing w:after="200"/>
      </w:pPr>
      <w:r>
        <w:t>The Department of Homeland Security’s SEAR system assigns a five-tier rating (SEAR 1–5) to events based on threat, vulnerability, and consequence scoring.</w:t>
      </w:r>
      <w:r>
        <w:rPr>
          <w:rStyle w:val="FootnoteReference"/>
        </w:rPr>
        <w:footnoteReference w:id="14"/>
      </w:r>
      <w:r>
        <w:t xml:space="preserve"> SEAR 1 events—such as the Super Bowl, presidential inaugurations, and major marathons—receive the highest level of federal security support. SEAR 2 events include the Kentucky Derby, Indianapolis 500, and Papal visits. Lower-tier events (SEAR 3–5) represent progressively smaller gatherings with reduced risk profiles. The SEAR system provides an existing, independently verifiable classification that the FCC could reference without needing to create its own assessment apparatus.</w:t>
      </w:r>
    </w:p>
    <w:p w14:paraId="1E8975BE" w14:textId="77777777" w:rsidR="006C6BDE" w:rsidRDefault="00000000">
      <w:pPr>
        <w:pStyle w:val="Heading3"/>
      </w:pPr>
      <w:bookmarkStart w:id="14" w:name="_Toc231364959"/>
      <w:r>
        <w:t>2. National Special Security Events (NSSE)</w:t>
      </w:r>
      <w:bookmarkEnd w:id="14"/>
    </w:p>
    <w:p w14:paraId="1A76B299" w14:textId="77777777" w:rsidR="006C6BDE" w:rsidRDefault="00000000">
      <w:pPr>
        <w:spacing w:after="200"/>
      </w:pPr>
      <w:r>
        <w:t>The Secretary of Homeland Security may designate events as NSSEs pursuant to Presidential Policy Directive 22, based on attendance, national or international significance, presence of senior dignitaries, and assessed risk.</w:t>
      </w:r>
      <w:r>
        <w:rPr>
          <w:rStyle w:val="FootnoteReference"/>
        </w:rPr>
        <w:footnoteReference w:id="15"/>
      </w:r>
      <w:r>
        <w:t xml:space="preserve"> NSSE designation triggers unified federal coordination under the U.S. Secret Service. While limited to the most significant events, NSSE status provides a clear, authoritative threshold for the highest tier of any FCC special event licensing framework.</w:t>
      </w:r>
    </w:p>
    <w:p w14:paraId="56AE5060" w14:textId="77777777" w:rsidR="006C6BDE" w:rsidRDefault="00000000">
      <w:pPr>
        <w:pStyle w:val="Heading3"/>
      </w:pPr>
      <w:bookmarkStart w:id="15" w:name="_Toc231364960"/>
      <w:r>
        <w:t>3. FHWA Planned Special Events</w:t>
      </w:r>
      <w:bookmarkEnd w:id="15"/>
    </w:p>
    <w:p w14:paraId="784E66F0" w14:textId="77777777" w:rsidR="006C6BDE" w:rsidRDefault="00000000">
      <w:pPr>
        <w:spacing w:after="200"/>
      </w:pPr>
      <w:r>
        <w:t>The Federal Highway Administration defines five categories of planned special events based on operational characteristics:</w:t>
      </w:r>
      <w:r>
        <w:rPr>
          <w:rStyle w:val="FootnoteReference"/>
        </w:rPr>
        <w:footnoteReference w:id="16"/>
      </w:r>
    </w:p>
    <w:p w14:paraId="72CFECE3" w14:textId="77777777" w:rsidR="006C6BDE" w:rsidRDefault="00000000">
      <w:pPr>
        <w:pStyle w:val="ListParagraph"/>
        <w:numPr>
          <w:ilvl w:val="0"/>
          <w:numId w:val="2"/>
        </w:numPr>
        <w:spacing w:after="80"/>
      </w:pPr>
      <w:r>
        <w:t>Discrete/recurring events at permanent venues (e.g., stadiums, arenas)</w:t>
      </w:r>
    </w:p>
    <w:p w14:paraId="2DBFA94A" w14:textId="77777777" w:rsidR="006C6BDE" w:rsidRDefault="00000000">
      <w:pPr>
        <w:pStyle w:val="ListParagraph"/>
        <w:numPr>
          <w:ilvl w:val="0"/>
          <w:numId w:val="2"/>
        </w:numPr>
        <w:spacing w:after="80"/>
      </w:pPr>
      <w:r>
        <w:t>Continuous events (e.g., multi-day festivals, state fairs)</w:t>
      </w:r>
    </w:p>
    <w:p w14:paraId="2CCE5A38" w14:textId="77777777" w:rsidR="006C6BDE" w:rsidRDefault="00000000">
      <w:pPr>
        <w:pStyle w:val="ListParagraph"/>
        <w:numPr>
          <w:ilvl w:val="0"/>
          <w:numId w:val="2"/>
        </w:numPr>
        <w:spacing w:after="80"/>
      </w:pPr>
      <w:r>
        <w:t>Street-use events (e.g., parades, marathons, street fairs)</w:t>
      </w:r>
    </w:p>
    <w:p w14:paraId="0367E420" w14:textId="77777777" w:rsidR="006C6BDE" w:rsidRDefault="00000000">
      <w:pPr>
        <w:pStyle w:val="ListParagraph"/>
        <w:numPr>
          <w:ilvl w:val="0"/>
          <w:numId w:val="2"/>
        </w:numPr>
        <w:spacing w:after="80"/>
      </w:pPr>
      <w:r>
        <w:t>Regional and multi-venue events (e.g., Olympics, FIFA World Cup)</w:t>
      </w:r>
    </w:p>
    <w:p w14:paraId="43A74191" w14:textId="77777777" w:rsidR="006C6BDE" w:rsidRDefault="00000000">
      <w:pPr>
        <w:pStyle w:val="ListParagraph"/>
        <w:numPr>
          <w:ilvl w:val="0"/>
          <w:numId w:val="2"/>
        </w:numPr>
        <w:spacing w:after="80"/>
      </w:pPr>
      <w:r>
        <w:t>Rural events (e.g., county fairs, harvest festivals)</w:t>
      </w:r>
    </w:p>
    <w:p w14:paraId="028B3C62" w14:textId="77777777" w:rsidR="006C6BDE" w:rsidRDefault="00000000">
      <w:pPr>
        <w:spacing w:after="200"/>
      </w:pPr>
      <w:r>
        <w:lastRenderedPageBreak/>
        <w:t>This taxonomy is useful for FCC purposes because it captures the full range of events that generate spectrum demand, including categories (like street-use events and rural gatherings) that might escape venue-centric definitions.</w:t>
      </w:r>
    </w:p>
    <w:p w14:paraId="329833E0" w14:textId="77777777" w:rsidR="006C6BDE" w:rsidRDefault="00000000">
      <w:pPr>
        <w:pStyle w:val="Heading3"/>
      </w:pPr>
      <w:bookmarkStart w:id="16" w:name="_Toc231364961"/>
      <w:r>
        <w:t>4. Department of Defense (32 C.F.R. Part 183)</w:t>
      </w:r>
      <w:bookmarkEnd w:id="16"/>
    </w:p>
    <w:p w14:paraId="140ADBAA" w14:textId="77777777" w:rsidR="006C6BDE" w:rsidRDefault="00000000">
      <w:pPr>
        <w:spacing w:after="200"/>
      </w:pPr>
      <w:r>
        <w:t>The DoD previously maintained special event criteria at 32 C.F.R. Part 183, which were removed in 2018 and consolidated into DoD Directive 3025.18.</w:t>
      </w:r>
      <w:r>
        <w:rPr>
          <w:rStyle w:val="FootnoteReference"/>
        </w:rPr>
        <w:footnoteReference w:id="17"/>
      </w:r>
      <w:r>
        <w:t xml:space="preserve"> While no longer in the CFR, the framework’s historical existence confirms that federal agencies have found it necessary to define “special events” with specificity for regulatory purposes.</w:t>
      </w:r>
    </w:p>
    <w:p w14:paraId="7F99D794" w14:textId="77777777" w:rsidR="006C6BDE" w:rsidRDefault="00000000">
      <w:pPr>
        <w:pStyle w:val="Heading2"/>
      </w:pPr>
      <w:bookmarkStart w:id="17" w:name="_Toc231364962"/>
      <w:r>
        <w:t>B. State Frameworks</w:t>
      </w:r>
      <w:bookmarkEnd w:id="17"/>
    </w:p>
    <w:p w14:paraId="4BF04C44" w14:textId="77777777" w:rsidR="006C6BDE" w:rsidRDefault="00000000">
      <w:pPr>
        <w:pStyle w:val="Heading3"/>
      </w:pPr>
      <w:bookmarkStart w:id="18" w:name="_Toc231364963"/>
      <w:r>
        <w:t>1. Texas Mass Gathering Law (Health &amp; Safety Code Ch. 751)</w:t>
      </w:r>
      <w:bookmarkEnd w:id="18"/>
    </w:p>
    <w:p w14:paraId="5CAA9E26" w14:textId="77777777" w:rsidR="006C6BDE" w:rsidRDefault="00000000">
      <w:pPr>
        <w:spacing w:after="200"/>
      </w:pPr>
      <w:r>
        <w:t>Texas provides one of the most specific statutory definitions: a “mass gathering” is an outdoor assembly of 2,500 or more persons (or 500 or more if 51% or more are under 21 and alcohol is served), held outside municipality limits, where attendees remain for five or more continuous hours.</w:t>
      </w:r>
      <w:r>
        <w:rPr>
          <w:rStyle w:val="FootnoteReference"/>
        </w:rPr>
        <w:footnoteReference w:id="18"/>
      </w:r>
      <w:r>
        <w:t xml:space="preserve"> The statute requires a county permit and imposes minimum requirements for medical, sanitation, and fire safety infrastructure. This model demonstrates that numerical attendance thresholds, combined with duration and location criteria, can provide a workable regulatory definition.</w:t>
      </w:r>
    </w:p>
    <w:p w14:paraId="188202A8" w14:textId="77777777" w:rsidR="006C6BDE" w:rsidRDefault="00000000">
      <w:pPr>
        <w:pStyle w:val="Heading2"/>
      </w:pPr>
      <w:bookmarkStart w:id="19" w:name="_Toc231364964"/>
      <w:r>
        <w:t>C. Local Government Ordinances</w:t>
      </w:r>
      <w:bookmarkEnd w:id="19"/>
    </w:p>
    <w:p w14:paraId="4EAC9B41" w14:textId="77777777" w:rsidR="006C6BDE" w:rsidRDefault="00000000">
      <w:pPr>
        <w:spacing w:after="200"/>
      </w:pPr>
      <w:r>
        <w:t xml:space="preserve">Municipal and county special </w:t>
      </w:r>
      <w:proofErr w:type="gramStart"/>
      <w:r>
        <w:t>event</w:t>
      </w:r>
      <w:proofErr w:type="gramEnd"/>
      <w:r>
        <w:t xml:space="preserve"> permitting ordinances vary widely in their thresholds and criteria. Common triggers include attendance above a specified number (varying from 25 to 1,000+ depending on jurisdiction), temporary street closures, amplified sound, the sale of food or alcohol, and the use of temporary structures. While no single local standard is authoritative, the prevalence of special event permitting at the local level confirms that the concept is well-established in American regulatory practice and that affected events are independently identifiable through local permit records.</w:t>
      </w:r>
    </w:p>
    <w:p w14:paraId="4ECCFD9B" w14:textId="77777777" w:rsidR="006C6BDE" w:rsidRDefault="00000000">
      <w:pPr>
        <w:pStyle w:val="Heading2"/>
      </w:pPr>
      <w:bookmarkStart w:id="20" w:name="_Toc231364965"/>
      <w:r>
        <w:t>D. Implications for FCC Definition</w:t>
      </w:r>
      <w:bookmarkEnd w:id="20"/>
    </w:p>
    <w:p w14:paraId="2929F9DA" w14:textId="77777777" w:rsidR="006C6BDE" w:rsidRDefault="00000000">
      <w:pPr>
        <w:spacing w:after="200"/>
      </w:pPr>
      <w:r>
        <w:t xml:space="preserve">These frameworks suggest several principles for an FCC special event definition. First, numerical attendance thresholds alone are </w:t>
      </w:r>
      <w:proofErr w:type="gramStart"/>
      <w:r>
        <w:t>insufficient—a</w:t>
      </w:r>
      <w:proofErr w:type="gramEnd"/>
      <w:r>
        <w:t xml:space="preserve"> definition must also account for the nature of the activities (broadcast production, live entertainment, competition) and their spectrum demand profile. Second, independent verifiability is achievable: events eligible for FCC special event licensing could be required to hold, or be eligible for, a SEAR rating, state mass gathering permit, or local special event permit. Third, the facilitation condition proposed in this memorandum provides an additional self-selecting mechanism that obviates the need for a highly prescriptive definition—entities unwilling </w:t>
      </w:r>
      <w:r>
        <w:lastRenderedPageBreak/>
        <w:t>to accept the cooperation obligation would not seek special event experimental authority, regardless of their event’s size.</w:t>
      </w:r>
    </w:p>
    <w:p w14:paraId="4A62F22B" w14:textId="77777777" w:rsidR="006C6BDE" w:rsidRDefault="00000000">
      <w:r>
        <w:br w:type="page"/>
      </w:r>
    </w:p>
    <w:p w14:paraId="50F12A85" w14:textId="77777777" w:rsidR="006C6BDE" w:rsidRDefault="00000000">
      <w:pPr>
        <w:pStyle w:val="Heading1"/>
      </w:pPr>
      <w:bookmarkStart w:id="21" w:name="_Toc231364966"/>
      <w:r>
        <w:lastRenderedPageBreak/>
        <w:t>V. Key Precedents</w:t>
      </w:r>
      <w:bookmarkEnd w:id="21"/>
    </w:p>
    <w:p w14:paraId="4EF9146C" w14:textId="77777777" w:rsidR="006C6BDE" w:rsidRDefault="00000000">
      <w:pPr>
        <w:pStyle w:val="Heading2"/>
      </w:pPr>
      <w:bookmarkStart w:id="22" w:name="_Toc231364967"/>
      <w:r>
        <w:t>A. DA 25-910: The LA28 Olympics Part 90 STA</w:t>
      </w:r>
      <w:bookmarkEnd w:id="22"/>
    </w:p>
    <w:p w14:paraId="4491407C" w14:textId="77777777" w:rsidR="006C6BDE" w:rsidRDefault="00000000">
      <w:pPr>
        <w:spacing w:after="200"/>
      </w:pPr>
      <w:r>
        <w:t>The Commission’s grant of a Part 90 STA for the 2028 Los Angeles Olympics is the most significant recent precedent for event-based spectrum authorization.</w:t>
      </w:r>
      <w:r>
        <w:rPr>
          <w:rStyle w:val="FootnoteReference"/>
        </w:rPr>
        <w:footnoteReference w:id="19"/>
      </w:r>
      <w:r>
        <w:t xml:space="preserve"> The LA28 order authorized nationwide operations with an 80-mile primary radius around Los Angeles, waived dozens of Part 90 rules, designated a frequency coordinator, and granted a 180-day STA window (March 5 through September 1, 2028). The Commission explicitly found that “imposing the typical licensing process and the usual part 90 rules here is both unduly burdensome and contrary to the public interest.”</w:t>
      </w:r>
    </w:p>
    <w:p w14:paraId="1363B94E" w14:textId="77777777" w:rsidR="006C6BDE" w:rsidRDefault="00000000">
      <w:pPr>
        <w:spacing w:after="200"/>
      </w:pPr>
      <w:r>
        <w:t>This finding is directly applicable to the present proposal. If the Commission has determined that event-by-event licensing is “unduly burdensome and contrary to the public interest” for a single mega-event under Part 90, the same logic applies with greater force to the hundreds of recurring events that generate Part 5 STA filings annually. The LA28 order establishes that the Commission possesses—and is willing to exercise—authority to issue broad, event-based spectrum authorizations with streamlined conditions.</w:t>
      </w:r>
    </w:p>
    <w:p w14:paraId="73C89A28" w14:textId="77777777" w:rsidR="006C6BDE" w:rsidRDefault="00000000">
      <w:pPr>
        <w:pStyle w:val="Heading2"/>
      </w:pPr>
      <w:bookmarkStart w:id="23" w:name="_Toc231364968"/>
      <w:r>
        <w:t>B. BAS Frequency Coordinator Designations</w:t>
      </w:r>
      <w:bookmarkEnd w:id="23"/>
    </w:p>
    <w:p w14:paraId="71CEF2E7" w14:textId="77777777" w:rsidR="006C6BDE" w:rsidRDefault="00000000">
      <w:pPr>
        <w:spacing w:after="200"/>
      </w:pPr>
      <w:r>
        <w:t>The Commission has a well-established practice of designating frequency coordinators for major events under Part 74 BAS authority.</w:t>
      </w:r>
      <w:r>
        <w:rPr>
          <w:rStyle w:val="FootnoteReference"/>
        </w:rPr>
        <w:footnoteReference w:id="20"/>
      </w:r>
      <w:r>
        <w:t xml:space="preserve"> These designations have covered the 2002 Salt Lake City Olympics, presidential inaugurations (2021, 2025), political conventions (2016, 2020, 2024), the FIFA Club World Cup 2025, and the FIFA World Cup 2026.</w:t>
      </w:r>
      <w:r>
        <w:rPr>
          <w:rStyle w:val="FootnoteReference"/>
        </w:rPr>
        <w:footnoteReference w:id="21"/>
      </w:r>
      <w:r>
        <w:t xml:space="preserve"> The coordinator model demonstrates that the Commission recognizes the need for specialized event-level spectrum management and has developed institutional mechanisms to provide it.</w:t>
      </w:r>
    </w:p>
    <w:p w14:paraId="2B498A38" w14:textId="77777777" w:rsidR="006C6BDE" w:rsidRDefault="00000000">
      <w:pPr>
        <w:spacing w:after="200"/>
      </w:pPr>
      <w:r>
        <w:t>Notably, the recently released Sports Broadcasting NOI (DA 26-188)</w:t>
      </w:r>
      <w:r>
        <w:rPr>
          <w:rStyle w:val="FootnoteReference"/>
        </w:rPr>
        <w:footnoteReference w:id="22"/>
      </w:r>
      <w:r>
        <w:t xml:space="preserve"> signals the Commission’s awareness that existing frameworks may be inadequate for live event production needs, and its willingness to explore structural reforms.</w:t>
      </w:r>
    </w:p>
    <w:p w14:paraId="3F485B63" w14:textId="77777777" w:rsidR="006C6BDE" w:rsidRDefault="00000000">
      <w:pPr>
        <w:pStyle w:val="Heading2"/>
      </w:pPr>
      <w:bookmarkStart w:id="24" w:name="_Toc231364969"/>
      <w:proofErr w:type="gramStart"/>
      <w:r>
        <w:t>C. Part</w:t>
      </w:r>
      <w:proofErr w:type="gramEnd"/>
      <w:r>
        <w:t xml:space="preserve"> 96 CBRS: The Three-Tiered Sharing Model</w:t>
      </w:r>
      <w:bookmarkEnd w:id="24"/>
    </w:p>
    <w:p w14:paraId="55E6C506" w14:textId="77777777" w:rsidR="006C6BDE" w:rsidRDefault="00000000">
      <w:pPr>
        <w:spacing w:after="200"/>
      </w:pPr>
      <w:r>
        <w:t>The Citizens Broadband Radio Service (Part 96) provides a structural analogy for the proposed framework.</w:t>
      </w:r>
      <w:r>
        <w:rPr>
          <w:rStyle w:val="FootnoteReference"/>
        </w:rPr>
        <w:footnoteReference w:id="23"/>
      </w:r>
      <w:r>
        <w:t xml:space="preserve"> CBRS’s three-tiered model—Incumbent Access, Priority Access </w:t>
      </w:r>
      <w:r>
        <w:lastRenderedPageBreak/>
        <w:t>Licenses, and General Authorized Access—managed by automated Spectrum Access Systems (SAS), demonstrates that the Commission can design sharing frameworks with graduated access rights, automated coordination, and database-driven spectrum management. The ELS modernization proposed in Phase 2 of this memorandum draws directly on the SAS model’s principle of database-mediated spectrum access.</w:t>
      </w:r>
    </w:p>
    <w:p w14:paraId="11214BC7" w14:textId="77777777" w:rsidR="006C6BDE" w:rsidRDefault="00000000">
      <w:pPr>
        <w:pStyle w:val="Heading2"/>
      </w:pPr>
      <w:bookmarkStart w:id="25" w:name="_Toc231364970"/>
      <w:r>
        <w:t>D. Ofcom Short-Notice Licenses (UK)</w:t>
      </w:r>
      <w:bookmarkEnd w:id="25"/>
    </w:p>
    <w:p w14:paraId="4564C78B" w14:textId="77777777" w:rsidR="006C6BDE" w:rsidRDefault="00000000">
      <w:pPr>
        <w:spacing w:after="200"/>
      </w:pPr>
      <w:r>
        <w:t>The UK’s communications regulator, Ofcom, offers short-notice, short-duration licenses in the 2.3 GHz band that allow rapid deployment for event-based operations.</w:t>
      </w:r>
      <w:r>
        <w:rPr>
          <w:rStyle w:val="FootnoteReference"/>
        </w:rPr>
        <w:footnoteReference w:id="24"/>
      </w:r>
      <w:r>
        <w:t xml:space="preserve"> This international model demonstrates that streamlined event licensing is technically feasible and has been successfully implemented by a peer regulatory authority.</w:t>
      </w:r>
    </w:p>
    <w:p w14:paraId="4647E674" w14:textId="77777777" w:rsidR="006C6BDE" w:rsidRDefault="00000000">
      <w:r>
        <w:br w:type="page"/>
      </w:r>
    </w:p>
    <w:p w14:paraId="4F60CA81" w14:textId="77777777" w:rsidR="006C6BDE" w:rsidRDefault="00000000">
      <w:pPr>
        <w:pStyle w:val="Heading1"/>
      </w:pPr>
      <w:bookmarkStart w:id="26" w:name="_Toc231364971"/>
      <w:r>
        <w:lastRenderedPageBreak/>
        <w:t>VI. Proposed Regulatory Framework: Three-Phase Implementation</w:t>
      </w:r>
      <w:bookmarkEnd w:id="26"/>
    </w:p>
    <w:p w14:paraId="4F4592F3" w14:textId="77777777" w:rsidR="006C6BDE" w:rsidRDefault="00000000">
      <w:pPr>
        <w:spacing w:after="200"/>
      </w:pPr>
      <w:r>
        <w:t>The proposed framework proceeds in three phases, each building on the prior, designed to move from immediate administrative relief to long-term structural reform. Each phase is implementable under existing authority; only Phase 3 requires notice-and-comment rulemaking.</w:t>
      </w:r>
    </w:p>
    <w:p w14:paraId="3B23572F" w14:textId="77777777" w:rsidR="006C6BDE" w:rsidRDefault="00000000">
      <w:pPr>
        <w:pStyle w:val="Heading2"/>
      </w:pPr>
      <w:bookmarkStart w:id="27" w:name="_Toc231364972"/>
      <w:r>
        <w:t>A. Phase 1: Immediate — Nationwide Part 5 Licenses with Conditions</w:t>
      </w:r>
      <w:bookmarkEnd w:id="27"/>
    </w:p>
    <w:p w14:paraId="55D476EC" w14:textId="77777777" w:rsidR="006C6BDE" w:rsidRDefault="00000000">
      <w:pPr>
        <w:pStyle w:val="Heading3"/>
      </w:pPr>
      <w:bookmarkStart w:id="28" w:name="_Toc231364973"/>
      <w:r>
        <w:t>1. Mechanism</w:t>
      </w:r>
      <w:bookmarkEnd w:id="28"/>
    </w:p>
    <w:p w14:paraId="52E31533" w14:textId="77777777" w:rsidR="006C6BDE" w:rsidRDefault="00000000">
      <w:pPr>
        <w:spacing w:after="200"/>
      </w:pPr>
      <w:r>
        <w:t>The Commission would issue nationwide Part 5 experimental licenses (not STAs) to qualifying applicants, with standard conditions. These licenses would authorize operations across the United States, with specific locations activated through a streamlined filing process. If NTIA objects to nationwide scope encompassing federal bands, the initial authorization could be limited to non-federal spectrum bands.</w:t>
      </w:r>
    </w:p>
    <w:p w14:paraId="6CB11AB8" w14:textId="77777777" w:rsidR="006C6BDE" w:rsidRDefault="00000000">
      <w:pPr>
        <w:pStyle w:val="Heading3"/>
      </w:pPr>
      <w:bookmarkStart w:id="29" w:name="_Toc231364974"/>
      <w:r>
        <w:t>2. Conditions</w:t>
      </w:r>
      <w:bookmarkEnd w:id="29"/>
    </w:p>
    <w:p w14:paraId="615AF2D6" w14:textId="77777777" w:rsidR="006C6BDE" w:rsidRDefault="00000000">
      <w:pPr>
        <w:spacing w:after="200"/>
      </w:pPr>
      <w:r>
        <w:t>Each nationwide license would be subject to the following conditions:</w:t>
      </w:r>
    </w:p>
    <w:p w14:paraId="7922EE74" w14:textId="77777777" w:rsidR="006C6BDE" w:rsidRDefault="00000000">
      <w:pPr>
        <w:pStyle w:val="ListParagraph"/>
        <w:numPr>
          <w:ilvl w:val="0"/>
          <w:numId w:val="2"/>
        </w:numPr>
        <w:spacing w:after="80"/>
      </w:pPr>
      <w:r>
        <w:rPr>
          <w:b/>
          <w:bCs/>
        </w:rPr>
        <w:t>Facilitation obligation:</w:t>
      </w:r>
      <w:r>
        <w:t xml:space="preserve"> The licensee must coordinate with and facilitate later-in-time experimental deployments at any event where it operates. This is the core condition that ties the license to Part 5’s statutory purpose.</w:t>
      </w:r>
    </w:p>
    <w:p w14:paraId="4C22DBDD" w14:textId="77777777" w:rsidR="006C6BDE" w:rsidRDefault="00000000">
      <w:pPr>
        <w:pStyle w:val="ListParagraph"/>
        <w:numPr>
          <w:ilvl w:val="0"/>
          <w:numId w:val="2"/>
        </w:numPr>
        <w:spacing w:after="80"/>
      </w:pPr>
      <w:r>
        <w:rPr>
          <w:b/>
          <w:bCs/>
        </w:rPr>
        <w:t>Location filing:</w:t>
      </w:r>
      <w:r>
        <w:t xml:space="preserve"> Before operating at a specific location, the licensee must file the location with the Commission. Until an automated system is available (Phase 2), this would be accomplished by: (a) filing a letter in the license record identifying the event name, venue, dates, frequencies, and technical parameters; and (b) sending a structured email to a designated FCC inbox (e.g., ELS-Events@fcc.gov) with a standardized subject line and formatted station information, enabling staff to populate the location in ELS.</w:t>
      </w:r>
    </w:p>
    <w:p w14:paraId="705993B6" w14:textId="77777777" w:rsidR="006C6BDE" w:rsidRDefault="00000000">
      <w:pPr>
        <w:pStyle w:val="ListParagraph"/>
        <w:numPr>
          <w:ilvl w:val="0"/>
          <w:numId w:val="2"/>
        </w:numPr>
        <w:spacing w:after="80"/>
      </w:pPr>
      <w:r>
        <w:rPr>
          <w:b/>
          <w:bCs/>
        </w:rPr>
        <w:t>Interference protection:</w:t>
      </w:r>
      <w:r>
        <w:t xml:space="preserve"> Standard Part 5 interference avoidance obligations, plus specific coordination requirements for bands shared with federal or incumbent users.</w:t>
      </w:r>
    </w:p>
    <w:p w14:paraId="37849292" w14:textId="77777777" w:rsidR="006C6BDE" w:rsidRDefault="00000000">
      <w:pPr>
        <w:pStyle w:val="ListParagraph"/>
        <w:numPr>
          <w:ilvl w:val="0"/>
          <w:numId w:val="2"/>
        </w:numPr>
        <w:spacing w:after="80"/>
      </w:pPr>
      <w:r>
        <w:rPr>
          <w:b/>
          <w:bCs/>
        </w:rPr>
        <w:t>Reporting:</w:t>
      </w:r>
      <w:r>
        <w:t xml:space="preserve"> Annual summary of operations (events served, frequencies used, any interference incidents).</w:t>
      </w:r>
    </w:p>
    <w:p w14:paraId="73F7C2C7" w14:textId="77777777" w:rsidR="006C6BDE" w:rsidRDefault="00000000">
      <w:pPr>
        <w:pStyle w:val="Heading3"/>
      </w:pPr>
      <w:bookmarkStart w:id="30" w:name="_Toc231364975"/>
      <w:r>
        <w:t>3. Legal Basis</w:t>
      </w:r>
      <w:bookmarkEnd w:id="30"/>
    </w:p>
    <w:p w14:paraId="02F84109" w14:textId="77777777" w:rsidR="006C6BDE" w:rsidRDefault="00000000">
      <w:pPr>
        <w:spacing w:after="200"/>
      </w:pPr>
      <w:r>
        <w:t>Location activations within a nationwide license would constitute minor modifications under § 5.77, which permits licensees to make minor modifications without prior Commission approval.</w:t>
      </w:r>
      <w:r>
        <w:rPr>
          <w:rStyle w:val="FootnoteReference"/>
        </w:rPr>
        <w:footnoteReference w:id="25"/>
      </w:r>
      <w:r>
        <w:t xml:space="preserve"> Because the licensee is merely specifying a location within an already-authorized nationwide area—not changing technical parameters, power levels, </w:t>
      </w:r>
      <w:r>
        <w:lastRenderedPageBreak/>
        <w:t>or frequency assignments—the addition of a specific operating location is analogous to a site activation within a blanket authorization. The letter filing ensures Commission awareness and public notice without requiring individual STA grants.</w:t>
      </w:r>
    </w:p>
    <w:p w14:paraId="08E3A9C0" w14:textId="77777777" w:rsidR="006C6BDE" w:rsidRDefault="00000000">
      <w:pPr>
        <w:pStyle w:val="Heading3"/>
      </w:pPr>
      <w:bookmarkStart w:id="31" w:name="_Toc231364976"/>
      <w:r>
        <w:t>4. Announcement</w:t>
      </w:r>
      <w:bookmarkEnd w:id="31"/>
    </w:p>
    <w:p w14:paraId="20F3D610" w14:textId="77777777" w:rsidR="006C6BDE" w:rsidRDefault="00000000">
      <w:pPr>
        <w:spacing w:after="200"/>
      </w:pPr>
      <w:r>
        <w:t>The new process would be announced via Public Notice, describing: the availability of nationwide experimental licenses for event production; the application requirements and conditions; the interim location-filing process (letter + email); the facilitation obligation; and a point of contact for questions. No rulemaking is required for Phase 1, as it operates entirely within existing Part 5 authority and Commission discretion in granting experimental licenses.</w:t>
      </w:r>
    </w:p>
    <w:p w14:paraId="4567EDD5" w14:textId="77777777" w:rsidR="006C6BDE" w:rsidRDefault="00000000">
      <w:pPr>
        <w:pStyle w:val="Heading2"/>
      </w:pPr>
      <w:bookmarkStart w:id="32" w:name="_Toc231364977"/>
      <w:r>
        <w:t>B. Phase 2: Near-Term — ELS Database Modernization</w:t>
      </w:r>
      <w:bookmarkEnd w:id="32"/>
    </w:p>
    <w:p w14:paraId="3F1BE0A7" w14:textId="77777777" w:rsidR="006C6BDE" w:rsidRDefault="00000000">
      <w:pPr>
        <w:pStyle w:val="Heading3"/>
      </w:pPr>
      <w:bookmarkStart w:id="33" w:name="_Toc231364978"/>
      <w:r>
        <w:t>1. Parent-Child Record Structure</w:t>
      </w:r>
      <w:bookmarkEnd w:id="33"/>
    </w:p>
    <w:p w14:paraId="2B8647C7" w14:textId="77777777" w:rsidR="006C6BDE" w:rsidRDefault="00000000">
      <w:pPr>
        <w:spacing w:after="200"/>
      </w:pPr>
      <w:r>
        <w:t xml:space="preserve">The Experimental Licensing System would be updated to support a parent-child record relationship for nationwide event licenses. The parent record would contain the license’s static parameters: licensee identity, authorized frequency bands, maximum power, equipment descriptions, and conditions. Child records would represent individual location activations, </w:t>
      </w:r>
      <w:proofErr w:type="gramStart"/>
      <w:r>
        <w:t>containing:</w:t>
      </w:r>
      <w:proofErr w:type="gramEnd"/>
      <w:r>
        <w:t xml:space="preserve"> event name, venue address and coordinates, operating dates, specific frequencies in use, and coordinator contact information.</w:t>
      </w:r>
    </w:p>
    <w:p w14:paraId="597C605A" w14:textId="77777777" w:rsidR="006C6BDE" w:rsidRDefault="00000000">
      <w:pPr>
        <w:pStyle w:val="Heading3"/>
      </w:pPr>
      <w:bookmarkStart w:id="34" w:name="_Toc231364979"/>
      <w:r>
        <w:t>2. Self-Service Activation</w:t>
      </w:r>
      <w:bookmarkEnd w:id="34"/>
    </w:p>
    <w:p w14:paraId="13894C57" w14:textId="77777777" w:rsidR="006C6BDE" w:rsidRDefault="00000000">
      <w:pPr>
        <w:spacing w:after="200"/>
      </w:pPr>
      <w:r>
        <w:t>Licensees would be able to create location activation (child) records directly through a web interface, without Commission staff intervention. Each activation would immediately appear in ELS search results, enabling other spectrum users, coordinators, and the public to identify active experimental operations at any location. This mirrors the parent-child relationship model used in the Commission’s transaction processing systems.</w:t>
      </w:r>
    </w:p>
    <w:p w14:paraId="154271CF" w14:textId="77777777" w:rsidR="006C6BDE" w:rsidRDefault="00000000">
      <w:pPr>
        <w:pStyle w:val="Heading3"/>
      </w:pPr>
      <w:bookmarkStart w:id="35" w:name="_Toc231364980"/>
      <w:r>
        <w:t xml:space="preserve">3. </w:t>
      </w:r>
      <w:proofErr w:type="spellStart"/>
      <w:r>
        <w:t>Queryability</w:t>
      </w:r>
      <w:bookmarkEnd w:id="35"/>
      <w:proofErr w:type="spellEnd"/>
    </w:p>
    <w:p w14:paraId="3114E1A0" w14:textId="77777777" w:rsidR="006C6BDE" w:rsidRDefault="00000000">
      <w:pPr>
        <w:spacing w:after="200"/>
      </w:pPr>
      <w:r>
        <w:t xml:space="preserve">The ELS database would be searchable by location, date range, frequency, and </w:t>
      </w:r>
      <w:proofErr w:type="gramStart"/>
      <w:r>
        <w:t>licensee—</w:t>
      </w:r>
      <w:proofErr w:type="gramEnd"/>
      <w:r>
        <w:t>allowing frequency coordinators, other licensees, and the public to identify all active experimental event operations in a geographic area. This transparency supports the facilitation obligation by enabling prospective experimenters to identify and contact established event operators.</w:t>
      </w:r>
    </w:p>
    <w:p w14:paraId="09207F49" w14:textId="77777777" w:rsidR="006C6BDE" w:rsidRDefault="00000000">
      <w:pPr>
        <w:pStyle w:val="Heading2"/>
      </w:pPr>
      <w:bookmarkStart w:id="36" w:name="_Toc231364981"/>
      <w:r>
        <w:t>C. Phase 3: Long-Term — Rulemaking</w:t>
      </w:r>
      <w:bookmarkEnd w:id="36"/>
    </w:p>
    <w:p w14:paraId="3EBFC3EC" w14:textId="77777777" w:rsidR="006C6BDE" w:rsidRDefault="00000000">
      <w:pPr>
        <w:pStyle w:val="Heading3"/>
      </w:pPr>
      <w:bookmarkStart w:id="37" w:name="_Toc231364982"/>
      <w:r>
        <w:t>1. Objective</w:t>
      </w:r>
      <w:bookmarkEnd w:id="37"/>
    </w:p>
    <w:p w14:paraId="5DCC1B9C" w14:textId="77777777" w:rsidR="006C6BDE" w:rsidRDefault="00000000">
      <w:pPr>
        <w:spacing w:after="200"/>
      </w:pPr>
      <w:r>
        <w:t>A notice-and-comment rulemaking would codify the “special event” purpose within the Experimental Radio Service, adding it to the application purposes available under Part 5. This would provide formal regulatory recognition of event production as a legitimate experimental service activity and establish permanent rules governing this category of operations.</w:t>
      </w:r>
    </w:p>
    <w:p w14:paraId="7A4C1891" w14:textId="77777777" w:rsidR="006C6BDE" w:rsidRDefault="00000000">
      <w:pPr>
        <w:pStyle w:val="Heading3"/>
      </w:pPr>
      <w:bookmarkStart w:id="38" w:name="_Toc231364983"/>
      <w:r>
        <w:t>2. Definitional Approach</w:t>
      </w:r>
      <w:bookmarkEnd w:id="38"/>
    </w:p>
    <w:p w14:paraId="54577E44" w14:textId="77777777" w:rsidR="006C6BDE" w:rsidRDefault="00000000">
      <w:pPr>
        <w:spacing w:after="200"/>
      </w:pPr>
      <w:r>
        <w:lastRenderedPageBreak/>
        <w:t xml:space="preserve">Defining “special event” for regulatory purposes presents genuine difficulty, as discussed in Part IV above. The proposed approach combines reference criteria with the self-selecting facilitation </w:t>
      </w:r>
      <w:proofErr w:type="gramStart"/>
      <w:r>
        <w:t>condition</w:t>
      </w:r>
      <w:proofErr w:type="gramEnd"/>
      <w:r>
        <w:t>:</w:t>
      </w:r>
    </w:p>
    <w:p w14:paraId="3B93DFD4" w14:textId="77777777" w:rsidR="006C6BDE" w:rsidRDefault="00000000">
      <w:pPr>
        <w:pStyle w:val="ListParagraph"/>
        <w:numPr>
          <w:ilvl w:val="0"/>
          <w:numId w:val="2"/>
        </w:numPr>
        <w:spacing w:after="80"/>
      </w:pPr>
      <w:r>
        <w:rPr>
          <w:b/>
          <w:bCs/>
        </w:rPr>
        <w:t>Reference criteria:</w:t>
      </w:r>
      <w:r>
        <w:t xml:space="preserve"> An event would qualify if it </w:t>
      </w:r>
      <w:proofErr w:type="gramStart"/>
      <w:r>
        <w:t>holds</w:t>
      </w:r>
      <w:proofErr w:type="gramEnd"/>
      <w:r>
        <w:t xml:space="preserve"> or is eligible for any </w:t>
      </w:r>
      <w:proofErr w:type="gramStart"/>
      <w:r>
        <w:t>of:</w:t>
      </w:r>
      <w:proofErr w:type="gramEnd"/>
      <w:r>
        <w:t xml:space="preserve"> a SEAR rating (any level); an NSSE designation; a state mass gathering or special event permit; or a local government special event permit. These criteria are independently verifiable and leverage existing regulatory frameworks.</w:t>
      </w:r>
    </w:p>
    <w:p w14:paraId="32FE9BC9" w14:textId="77777777" w:rsidR="006C6BDE" w:rsidRDefault="00000000">
      <w:pPr>
        <w:pStyle w:val="ListParagraph"/>
        <w:numPr>
          <w:ilvl w:val="0"/>
          <w:numId w:val="2"/>
        </w:numPr>
        <w:spacing w:after="80"/>
      </w:pPr>
      <w:r>
        <w:rPr>
          <w:b/>
          <w:bCs/>
        </w:rPr>
        <w:t>Facilitation condition as self-selection:</w:t>
      </w:r>
      <w:r>
        <w:t xml:space="preserve"> Because all special event experimental licenses would be conditioned on cooperation with later-in-time </w:t>
      </w:r>
      <w:proofErr w:type="spellStart"/>
      <w:r>
        <w:t>experimentals</w:t>
      </w:r>
      <w:proofErr w:type="spellEnd"/>
      <w:r>
        <w:t xml:space="preserve">, the definition need not be exhaustively prescriptive. Entities that are genuinely operating in </w:t>
      </w:r>
      <w:proofErr w:type="gramStart"/>
      <w:r>
        <w:t>event</w:t>
      </w:r>
      <w:proofErr w:type="gramEnd"/>
      <w:r>
        <w:t xml:space="preserve"> production environments will accept this condition because it aligns with their operational reality. Entities seeking to exploit a broad definition to obtain flexible nationwide licenses for non-event purposes will be deterred by the cooperation obligation, which imposes real operational costs outside the event context.</w:t>
      </w:r>
    </w:p>
    <w:p w14:paraId="6CAB4AB4" w14:textId="77777777" w:rsidR="006C6BDE" w:rsidRDefault="00000000">
      <w:pPr>
        <w:pStyle w:val="Heading3"/>
      </w:pPr>
      <w:bookmarkStart w:id="39" w:name="_Toc231364984"/>
      <w:r>
        <w:t>3. Additional Rulemaking Considerations</w:t>
      </w:r>
      <w:bookmarkEnd w:id="39"/>
    </w:p>
    <w:p w14:paraId="025DCFAF" w14:textId="77777777" w:rsidR="006C6BDE" w:rsidRDefault="00000000">
      <w:pPr>
        <w:spacing w:after="200"/>
      </w:pPr>
      <w:r>
        <w:t>The rulemaking should also address:</w:t>
      </w:r>
    </w:p>
    <w:p w14:paraId="63F51C74" w14:textId="77777777" w:rsidR="006C6BDE" w:rsidRDefault="00000000">
      <w:pPr>
        <w:pStyle w:val="ListParagraph"/>
        <w:numPr>
          <w:ilvl w:val="0"/>
          <w:numId w:val="2"/>
        </w:numPr>
        <w:spacing w:after="80"/>
      </w:pPr>
      <w:r>
        <w:t xml:space="preserve">Whether to establish equipment certification requirements for </w:t>
      </w:r>
      <w:proofErr w:type="gramStart"/>
      <w:r>
        <w:t>commonly-used</w:t>
      </w:r>
      <w:proofErr w:type="gramEnd"/>
      <w:r>
        <w:t xml:space="preserve"> event production equipment, potentially enabling a licensing pathway closer to Part 74’s equipment-certified model.</w:t>
      </w:r>
    </w:p>
    <w:p w14:paraId="4D516A9B" w14:textId="77777777" w:rsidR="006C6BDE" w:rsidRDefault="00000000">
      <w:pPr>
        <w:pStyle w:val="ListParagraph"/>
        <w:numPr>
          <w:ilvl w:val="0"/>
          <w:numId w:val="2"/>
        </w:numPr>
        <w:spacing w:after="80"/>
      </w:pPr>
      <w:r>
        <w:t xml:space="preserve">Coordination procedures </w:t>
      </w:r>
      <w:proofErr w:type="gramStart"/>
      <w:r>
        <w:t>between event</w:t>
      </w:r>
      <w:proofErr w:type="gramEnd"/>
      <w:r>
        <w:t xml:space="preserve"> experimental licensees and Part 74 BAS licensees at the same events, building on the existing frequency coordinator designation model.</w:t>
      </w:r>
    </w:p>
    <w:p w14:paraId="47738C55" w14:textId="77777777" w:rsidR="006C6BDE" w:rsidRDefault="00000000">
      <w:pPr>
        <w:pStyle w:val="ListParagraph"/>
        <w:numPr>
          <w:ilvl w:val="0"/>
          <w:numId w:val="2"/>
        </w:numPr>
        <w:spacing w:after="80"/>
      </w:pPr>
      <w:r>
        <w:t>Whether certain frequency bands should be designated as preferred bands for event experimental operations, with lighter coordination requirements.</w:t>
      </w:r>
    </w:p>
    <w:p w14:paraId="36DB726B" w14:textId="77777777" w:rsidR="006C6BDE" w:rsidRDefault="00000000">
      <w:pPr>
        <w:pStyle w:val="ListParagraph"/>
        <w:numPr>
          <w:ilvl w:val="0"/>
          <w:numId w:val="2"/>
        </w:numPr>
        <w:spacing w:after="80"/>
      </w:pPr>
      <w:r>
        <w:t>The appropriate license term, renewal process, and any limitations on the number of location activations per license period.</w:t>
      </w:r>
    </w:p>
    <w:p w14:paraId="1BC14F09" w14:textId="77777777" w:rsidR="006C6BDE" w:rsidRDefault="00000000">
      <w:r>
        <w:br w:type="page"/>
      </w:r>
    </w:p>
    <w:p w14:paraId="6201CFC7" w14:textId="77777777" w:rsidR="006C6BDE" w:rsidRDefault="00000000">
      <w:pPr>
        <w:pStyle w:val="Heading1"/>
      </w:pPr>
      <w:bookmarkStart w:id="40" w:name="_Toc231364985"/>
      <w:r>
        <w:lastRenderedPageBreak/>
        <w:t>VII. The Self-Selecting Facilitation Condition</w:t>
      </w:r>
      <w:bookmarkEnd w:id="40"/>
    </w:p>
    <w:p w14:paraId="7A8CF861" w14:textId="77777777" w:rsidR="006C6BDE" w:rsidRDefault="00000000">
      <w:pPr>
        <w:spacing w:after="200"/>
      </w:pPr>
      <w:r>
        <w:t>The experimentation facilitation condition merits separate discussion because it serves multiple functions within the proposed framework. It is simultaneously a legal justification, a definitional mechanism, and a policy safeguard.</w:t>
      </w:r>
    </w:p>
    <w:p w14:paraId="0D21A172" w14:textId="77777777" w:rsidR="006C6BDE" w:rsidRDefault="00000000">
      <w:pPr>
        <w:pStyle w:val="Heading2"/>
      </w:pPr>
      <w:bookmarkStart w:id="41" w:name="_Toc231364986"/>
      <w:r>
        <w:t>A. As Legal Justification</w:t>
      </w:r>
      <w:bookmarkEnd w:id="41"/>
    </w:p>
    <w:p w14:paraId="5E3B3DCC" w14:textId="77777777" w:rsidR="006C6BDE" w:rsidRDefault="00000000">
      <w:pPr>
        <w:spacing w:after="200"/>
      </w:pPr>
      <w:r>
        <w:t>The facilitation condition anchors event production licensing to Section 303(g)’s directive to “provide for experimental uses of frequencies.” By requiring event operators to coordinate with and facilitate later-in-time experiments, the Commission ensures that every special event license directly serves the experimental service’s statutory purpose—even when the licensee’s own operations are not themselves experimental. The license creates the coordination ecosystem within which experiments can occur.</w:t>
      </w:r>
    </w:p>
    <w:p w14:paraId="21BE9B78" w14:textId="77777777" w:rsidR="006C6BDE" w:rsidRDefault="00000000">
      <w:pPr>
        <w:pStyle w:val="Heading2"/>
      </w:pPr>
      <w:bookmarkStart w:id="42" w:name="_Toc231364987"/>
      <w:r>
        <w:t>B. As Definitional Mechanism</w:t>
      </w:r>
      <w:bookmarkEnd w:id="42"/>
    </w:p>
    <w:p w14:paraId="285F14B3" w14:textId="77777777" w:rsidR="006C6BDE" w:rsidRDefault="00000000">
      <w:pPr>
        <w:spacing w:after="200"/>
      </w:pPr>
      <w:r>
        <w:t>The condition obviates the need for a highly prescriptive definition of “special event.” Rather than attempting to enumerate every qualifying event type or set precise numerical thresholds, the Commission can rely on applicants’ willingness to accept the cooperation obligation as a revealed-preference indicator of genuine event production operations. An entity marketing drone light show technology to stadium operators has a natural interest in coordinating with other event operators; an entity seeking a flexible nationwide license for, say, fixed wireless backhaul has no such interest and would not accept the condition.</w:t>
      </w:r>
    </w:p>
    <w:p w14:paraId="62A9E327" w14:textId="77777777" w:rsidR="006C6BDE" w:rsidRDefault="00000000">
      <w:pPr>
        <w:pStyle w:val="Heading2"/>
      </w:pPr>
      <w:bookmarkStart w:id="43" w:name="_Toc231364988"/>
      <w:r>
        <w:t>C. As Policy Safeguard</w:t>
      </w:r>
      <w:bookmarkEnd w:id="43"/>
    </w:p>
    <w:p w14:paraId="2A7C3DFD" w14:textId="77777777" w:rsidR="006C6BDE" w:rsidRDefault="00000000">
      <w:pPr>
        <w:spacing w:after="200"/>
      </w:pPr>
      <w:r>
        <w:t>The principal risk of a nationwide experimental license program is that it could attract applicants seeking the flexibility of Part 5 authority for operations that have nothing to do with events or experimentation. The facilitation condition mitigates this risk by imposing a real operational cost—the obligation to coordinate with third-party experimenters—that is meaningful only in the event production context. This cost is trivial for genuine event operators (who are already coordinating with multiple spectrum users at every event) but potentially prohibitive for applicants with other intentions.</w:t>
      </w:r>
    </w:p>
    <w:p w14:paraId="7B62DF2F" w14:textId="77777777" w:rsidR="006C6BDE" w:rsidRDefault="00000000">
      <w:r>
        <w:br w:type="page"/>
      </w:r>
    </w:p>
    <w:p w14:paraId="1B190AD5" w14:textId="77777777" w:rsidR="006C6BDE" w:rsidRDefault="00000000">
      <w:pPr>
        <w:pStyle w:val="Heading1"/>
      </w:pPr>
      <w:bookmarkStart w:id="44" w:name="_Toc231364989"/>
      <w:r>
        <w:lastRenderedPageBreak/>
        <w:t>VIII. Comparison of Licensing Approaches</w:t>
      </w:r>
      <w:bookmarkEnd w:id="44"/>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400"/>
        <w:gridCol w:w="2360"/>
      </w:tblGrid>
      <w:tr w:rsidR="006A5F14" w14:paraId="198D2269" w14:textId="77777777">
        <w:tblPrEx>
          <w:tblCellMar>
            <w:top w:w="0" w:type="dxa"/>
            <w:bottom w:w="0" w:type="dxa"/>
          </w:tblCellMar>
        </w:tblPrEx>
        <w:tc>
          <w:tcPr>
            <w:tcW w:w="2200" w:type="dxa"/>
            <w:shd w:val="clear" w:color="auto" w:fill="1F3864"/>
            <w:tcMar>
              <w:top w:w="80" w:type="dxa"/>
              <w:left w:w="120" w:type="dxa"/>
              <w:bottom w:w="80" w:type="dxa"/>
              <w:right w:w="120" w:type="dxa"/>
            </w:tcMar>
          </w:tcPr>
          <w:p w14:paraId="2AC1517E" w14:textId="77777777" w:rsidR="006C6BDE" w:rsidRDefault="00000000">
            <w:r>
              <w:rPr>
                <w:b/>
                <w:bCs/>
                <w:color w:val="FFFFFF"/>
                <w:sz w:val="20"/>
                <w:szCs w:val="20"/>
              </w:rPr>
              <w:t>Feature</w:t>
            </w:r>
          </w:p>
        </w:tc>
        <w:tc>
          <w:tcPr>
            <w:tcW w:w="2400" w:type="dxa"/>
            <w:shd w:val="clear" w:color="auto" w:fill="1F3864"/>
            <w:tcMar>
              <w:top w:w="80" w:type="dxa"/>
              <w:left w:w="120" w:type="dxa"/>
              <w:bottom w:w="80" w:type="dxa"/>
              <w:right w:w="120" w:type="dxa"/>
            </w:tcMar>
          </w:tcPr>
          <w:p w14:paraId="55600685" w14:textId="77777777" w:rsidR="006C6BDE" w:rsidRDefault="00000000">
            <w:r>
              <w:rPr>
                <w:b/>
                <w:bCs/>
                <w:color w:val="FFFFFF"/>
                <w:sz w:val="20"/>
                <w:szCs w:val="20"/>
              </w:rPr>
              <w:t>Current (Per-Event STA)</w:t>
            </w:r>
          </w:p>
        </w:tc>
        <w:tc>
          <w:tcPr>
            <w:tcW w:w="2400" w:type="dxa"/>
            <w:shd w:val="clear" w:color="auto" w:fill="1F3864"/>
            <w:tcMar>
              <w:top w:w="80" w:type="dxa"/>
              <w:left w:w="120" w:type="dxa"/>
              <w:bottom w:w="80" w:type="dxa"/>
              <w:right w:w="120" w:type="dxa"/>
            </w:tcMar>
          </w:tcPr>
          <w:p w14:paraId="5FE6FB8C" w14:textId="77777777" w:rsidR="006C6BDE" w:rsidRDefault="00000000">
            <w:r>
              <w:rPr>
                <w:b/>
                <w:bCs/>
                <w:color w:val="FFFFFF"/>
                <w:sz w:val="20"/>
                <w:szCs w:val="20"/>
              </w:rPr>
              <w:t>Phase 1 (Nationwide + Letter)</w:t>
            </w:r>
          </w:p>
        </w:tc>
        <w:tc>
          <w:tcPr>
            <w:tcW w:w="2360" w:type="dxa"/>
            <w:shd w:val="clear" w:color="auto" w:fill="1F3864"/>
            <w:tcMar>
              <w:top w:w="80" w:type="dxa"/>
              <w:left w:w="120" w:type="dxa"/>
              <w:bottom w:w="80" w:type="dxa"/>
              <w:right w:w="120" w:type="dxa"/>
            </w:tcMar>
          </w:tcPr>
          <w:p w14:paraId="3B4D24E4" w14:textId="77777777" w:rsidR="006C6BDE" w:rsidRDefault="00000000">
            <w:r>
              <w:rPr>
                <w:b/>
                <w:bCs/>
                <w:color w:val="FFFFFF"/>
                <w:sz w:val="20"/>
                <w:szCs w:val="20"/>
              </w:rPr>
              <w:t>Phase 3 (Rulemaking)</w:t>
            </w:r>
          </w:p>
        </w:tc>
      </w:tr>
      <w:tr w:rsidR="006A5F14" w14:paraId="16415927" w14:textId="77777777">
        <w:tblPrEx>
          <w:tblCellMar>
            <w:top w:w="0" w:type="dxa"/>
            <w:bottom w:w="0" w:type="dxa"/>
          </w:tblCellMar>
        </w:tblPrEx>
        <w:tc>
          <w:tcPr>
            <w:tcW w:w="2200" w:type="dxa"/>
            <w:tcMar>
              <w:top w:w="80" w:type="dxa"/>
              <w:left w:w="120" w:type="dxa"/>
              <w:bottom w:w="80" w:type="dxa"/>
              <w:right w:w="120" w:type="dxa"/>
            </w:tcMar>
          </w:tcPr>
          <w:p w14:paraId="566DD8FB" w14:textId="77777777" w:rsidR="006C6BDE" w:rsidRDefault="00000000">
            <w:r>
              <w:rPr>
                <w:sz w:val="20"/>
                <w:szCs w:val="20"/>
              </w:rPr>
              <w:t>Filing burden</w:t>
            </w:r>
          </w:p>
        </w:tc>
        <w:tc>
          <w:tcPr>
            <w:tcW w:w="2400" w:type="dxa"/>
            <w:shd w:val="clear" w:color="auto" w:fill="F2F2F2"/>
            <w:tcMar>
              <w:top w:w="80" w:type="dxa"/>
              <w:left w:w="120" w:type="dxa"/>
              <w:bottom w:w="80" w:type="dxa"/>
              <w:right w:w="120" w:type="dxa"/>
            </w:tcMar>
          </w:tcPr>
          <w:p w14:paraId="4F29EFEC" w14:textId="77777777" w:rsidR="006C6BDE" w:rsidRDefault="00000000">
            <w:r>
              <w:rPr>
                <w:sz w:val="20"/>
                <w:szCs w:val="20"/>
              </w:rPr>
              <w:t>100+ filings/year per entity</w:t>
            </w:r>
          </w:p>
        </w:tc>
        <w:tc>
          <w:tcPr>
            <w:tcW w:w="2400" w:type="dxa"/>
            <w:shd w:val="clear" w:color="auto" w:fill="F2F2F2"/>
            <w:tcMar>
              <w:top w:w="80" w:type="dxa"/>
              <w:left w:w="120" w:type="dxa"/>
              <w:bottom w:w="80" w:type="dxa"/>
              <w:right w:w="120" w:type="dxa"/>
            </w:tcMar>
          </w:tcPr>
          <w:p w14:paraId="16E6094D" w14:textId="77777777" w:rsidR="006C6BDE" w:rsidRDefault="00000000">
            <w:r>
              <w:rPr>
                <w:sz w:val="20"/>
                <w:szCs w:val="20"/>
              </w:rPr>
              <w:t>1 license + location letters</w:t>
            </w:r>
          </w:p>
        </w:tc>
        <w:tc>
          <w:tcPr>
            <w:tcW w:w="2360" w:type="dxa"/>
            <w:shd w:val="clear" w:color="auto" w:fill="F2F2F2"/>
            <w:tcMar>
              <w:top w:w="80" w:type="dxa"/>
              <w:left w:w="120" w:type="dxa"/>
              <w:bottom w:w="80" w:type="dxa"/>
              <w:right w:w="120" w:type="dxa"/>
            </w:tcMar>
          </w:tcPr>
          <w:p w14:paraId="11FF9D47" w14:textId="77777777" w:rsidR="006C6BDE" w:rsidRDefault="00000000">
            <w:r>
              <w:rPr>
                <w:sz w:val="20"/>
                <w:szCs w:val="20"/>
              </w:rPr>
              <w:t>1 license + self-service activations</w:t>
            </w:r>
          </w:p>
        </w:tc>
      </w:tr>
      <w:tr w:rsidR="006A5F14" w14:paraId="1087ECC6" w14:textId="77777777">
        <w:tblPrEx>
          <w:tblCellMar>
            <w:top w:w="0" w:type="dxa"/>
            <w:bottom w:w="0" w:type="dxa"/>
          </w:tblCellMar>
        </w:tblPrEx>
        <w:tc>
          <w:tcPr>
            <w:tcW w:w="2200" w:type="dxa"/>
            <w:tcMar>
              <w:top w:w="80" w:type="dxa"/>
              <w:left w:w="120" w:type="dxa"/>
              <w:bottom w:w="80" w:type="dxa"/>
              <w:right w:w="120" w:type="dxa"/>
            </w:tcMar>
          </w:tcPr>
          <w:p w14:paraId="6405F506" w14:textId="77777777" w:rsidR="006C6BDE" w:rsidRDefault="00000000">
            <w:r>
              <w:rPr>
                <w:sz w:val="20"/>
                <w:szCs w:val="20"/>
              </w:rPr>
              <w:t>Staff review</w:t>
            </w:r>
          </w:p>
        </w:tc>
        <w:tc>
          <w:tcPr>
            <w:tcW w:w="2400" w:type="dxa"/>
            <w:tcMar>
              <w:top w:w="80" w:type="dxa"/>
              <w:left w:w="120" w:type="dxa"/>
              <w:bottom w:w="80" w:type="dxa"/>
              <w:right w:w="120" w:type="dxa"/>
            </w:tcMar>
          </w:tcPr>
          <w:p w14:paraId="5395C870" w14:textId="77777777" w:rsidR="006C6BDE" w:rsidRDefault="00000000">
            <w:r>
              <w:rPr>
                <w:sz w:val="20"/>
                <w:szCs w:val="20"/>
              </w:rPr>
              <w:t>Individual grant per event</w:t>
            </w:r>
          </w:p>
        </w:tc>
        <w:tc>
          <w:tcPr>
            <w:tcW w:w="2400" w:type="dxa"/>
            <w:tcMar>
              <w:top w:w="80" w:type="dxa"/>
              <w:left w:w="120" w:type="dxa"/>
              <w:bottom w:w="80" w:type="dxa"/>
              <w:right w:w="120" w:type="dxa"/>
            </w:tcMar>
          </w:tcPr>
          <w:p w14:paraId="343741B0" w14:textId="77777777" w:rsidR="006C6BDE" w:rsidRDefault="00000000">
            <w:r>
              <w:rPr>
                <w:sz w:val="20"/>
                <w:szCs w:val="20"/>
              </w:rPr>
              <w:t>One-time license review</w:t>
            </w:r>
          </w:p>
        </w:tc>
        <w:tc>
          <w:tcPr>
            <w:tcW w:w="2360" w:type="dxa"/>
            <w:tcMar>
              <w:top w:w="80" w:type="dxa"/>
              <w:left w:w="120" w:type="dxa"/>
              <w:bottom w:w="80" w:type="dxa"/>
              <w:right w:w="120" w:type="dxa"/>
            </w:tcMar>
          </w:tcPr>
          <w:p w14:paraId="46DFBDFA" w14:textId="77777777" w:rsidR="006C6BDE" w:rsidRDefault="00000000">
            <w:r>
              <w:rPr>
                <w:sz w:val="20"/>
                <w:szCs w:val="20"/>
              </w:rPr>
              <w:t>Automated activation</w:t>
            </w:r>
          </w:p>
        </w:tc>
      </w:tr>
      <w:tr w:rsidR="006A5F14" w14:paraId="7BBF3E8D" w14:textId="77777777">
        <w:tblPrEx>
          <w:tblCellMar>
            <w:top w:w="0" w:type="dxa"/>
            <w:bottom w:w="0" w:type="dxa"/>
          </w:tblCellMar>
        </w:tblPrEx>
        <w:tc>
          <w:tcPr>
            <w:tcW w:w="2200" w:type="dxa"/>
            <w:tcMar>
              <w:top w:w="80" w:type="dxa"/>
              <w:left w:w="120" w:type="dxa"/>
              <w:bottom w:w="80" w:type="dxa"/>
              <w:right w:w="120" w:type="dxa"/>
            </w:tcMar>
          </w:tcPr>
          <w:p w14:paraId="4993304F" w14:textId="77777777" w:rsidR="006C6BDE" w:rsidRDefault="00000000">
            <w:r>
              <w:rPr>
                <w:sz w:val="20"/>
                <w:szCs w:val="20"/>
              </w:rPr>
              <w:t>Location flexibility</w:t>
            </w:r>
          </w:p>
        </w:tc>
        <w:tc>
          <w:tcPr>
            <w:tcW w:w="2400" w:type="dxa"/>
            <w:shd w:val="clear" w:color="auto" w:fill="F2F2F2"/>
            <w:tcMar>
              <w:top w:w="80" w:type="dxa"/>
              <w:left w:w="120" w:type="dxa"/>
              <w:bottom w:w="80" w:type="dxa"/>
              <w:right w:w="120" w:type="dxa"/>
            </w:tcMar>
          </w:tcPr>
          <w:p w14:paraId="2EB1325F" w14:textId="77777777" w:rsidR="006C6BDE" w:rsidRDefault="00000000">
            <w:r>
              <w:rPr>
                <w:sz w:val="20"/>
                <w:szCs w:val="20"/>
              </w:rPr>
              <w:t>Fixed per STA</w:t>
            </w:r>
          </w:p>
        </w:tc>
        <w:tc>
          <w:tcPr>
            <w:tcW w:w="2400" w:type="dxa"/>
            <w:shd w:val="clear" w:color="auto" w:fill="F2F2F2"/>
            <w:tcMar>
              <w:top w:w="80" w:type="dxa"/>
              <w:left w:w="120" w:type="dxa"/>
              <w:bottom w:w="80" w:type="dxa"/>
              <w:right w:w="120" w:type="dxa"/>
            </w:tcMar>
          </w:tcPr>
          <w:p w14:paraId="5EE64106" w14:textId="77777777" w:rsidR="006C6BDE" w:rsidRDefault="00000000">
            <w:r>
              <w:rPr>
                <w:sz w:val="20"/>
                <w:szCs w:val="20"/>
              </w:rPr>
              <w:t>Nationwide; locations filed</w:t>
            </w:r>
          </w:p>
        </w:tc>
        <w:tc>
          <w:tcPr>
            <w:tcW w:w="2360" w:type="dxa"/>
            <w:shd w:val="clear" w:color="auto" w:fill="F2F2F2"/>
            <w:tcMar>
              <w:top w:w="80" w:type="dxa"/>
              <w:left w:w="120" w:type="dxa"/>
              <w:bottom w:w="80" w:type="dxa"/>
              <w:right w:w="120" w:type="dxa"/>
            </w:tcMar>
          </w:tcPr>
          <w:p w14:paraId="42596D34" w14:textId="77777777" w:rsidR="006C6BDE" w:rsidRDefault="00000000">
            <w:r>
              <w:rPr>
                <w:sz w:val="20"/>
                <w:szCs w:val="20"/>
              </w:rPr>
              <w:t>Nationwide; locations self-service</w:t>
            </w:r>
          </w:p>
        </w:tc>
      </w:tr>
      <w:tr w:rsidR="006A5F14" w14:paraId="5CCF0930" w14:textId="77777777">
        <w:tblPrEx>
          <w:tblCellMar>
            <w:top w:w="0" w:type="dxa"/>
            <w:bottom w:w="0" w:type="dxa"/>
          </w:tblCellMar>
        </w:tblPrEx>
        <w:tc>
          <w:tcPr>
            <w:tcW w:w="2200" w:type="dxa"/>
            <w:tcMar>
              <w:top w:w="80" w:type="dxa"/>
              <w:left w:w="120" w:type="dxa"/>
              <w:bottom w:w="80" w:type="dxa"/>
              <w:right w:w="120" w:type="dxa"/>
            </w:tcMar>
          </w:tcPr>
          <w:p w14:paraId="72CF9F2E" w14:textId="77777777" w:rsidR="006C6BDE" w:rsidRDefault="00000000">
            <w:r>
              <w:rPr>
                <w:sz w:val="20"/>
                <w:szCs w:val="20"/>
              </w:rPr>
              <w:t>Lead time</w:t>
            </w:r>
          </w:p>
        </w:tc>
        <w:tc>
          <w:tcPr>
            <w:tcW w:w="2400" w:type="dxa"/>
            <w:tcMar>
              <w:top w:w="80" w:type="dxa"/>
              <w:left w:w="120" w:type="dxa"/>
              <w:bottom w:w="80" w:type="dxa"/>
              <w:right w:w="120" w:type="dxa"/>
            </w:tcMar>
          </w:tcPr>
          <w:p w14:paraId="221AA093" w14:textId="77777777" w:rsidR="006C6BDE" w:rsidRDefault="00000000">
            <w:r>
              <w:rPr>
                <w:sz w:val="20"/>
                <w:szCs w:val="20"/>
              </w:rPr>
              <w:t>Weeks (STA processing)</w:t>
            </w:r>
          </w:p>
        </w:tc>
        <w:tc>
          <w:tcPr>
            <w:tcW w:w="2400" w:type="dxa"/>
            <w:tcMar>
              <w:top w:w="80" w:type="dxa"/>
              <w:left w:w="120" w:type="dxa"/>
              <w:bottom w:w="80" w:type="dxa"/>
              <w:right w:w="120" w:type="dxa"/>
            </w:tcMar>
          </w:tcPr>
          <w:p w14:paraId="728EDA6D" w14:textId="77777777" w:rsidR="006C6BDE" w:rsidRDefault="00000000">
            <w:r>
              <w:rPr>
                <w:sz w:val="20"/>
                <w:szCs w:val="20"/>
              </w:rPr>
              <w:t>Days (letter filing)</w:t>
            </w:r>
          </w:p>
        </w:tc>
        <w:tc>
          <w:tcPr>
            <w:tcW w:w="2360" w:type="dxa"/>
            <w:tcMar>
              <w:top w:w="80" w:type="dxa"/>
              <w:left w:w="120" w:type="dxa"/>
              <w:bottom w:w="80" w:type="dxa"/>
              <w:right w:w="120" w:type="dxa"/>
            </w:tcMar>
          </w:tcPr>
          <w:p w14:paraId="6D5E7C2F" w14:textId="77777777" w:rsidR="006C6BDE" w:rsidRDefault="00000000">
            <w:r>
              <w:rPr>
                <w:sz w:val="20"/>
                <w:szCs w:val="20"/>
              </w:rPr>
              <w:t>Immediate (database entry)</w:t>
            </w:r>
          </w:p>
        </w:tc>
      </w:tr>
      <w:tr w:rsidR="006A5F14" w14:paraId="12F65AB2" w14:textId="77777777">
        <w:tblPrEx>
          <w:tblCellMar>
            <w:top w:w="0" w:type="dxa"/>
            <w:bottom w:w="0" w:type="dxa"/>
          </w:tblCellMar>
        </w:tblPrEx>
        <w:tc>
          <w:tcPr>
            <w:tcW w:w="2200" w:type="dxa"/>
            <w:tcMar>
              <w:top w:w="80" w:type="dxa"/>
              <w:left w:w="120" w:type="dxa"/>
              <w:bottom w:w="80" w:type="dxa"/>
              <w:right w:w="120" w:type="dxa"/>
            </w:tcMar>
          </w:tcPr>
          <w:p w14:paraId="0DA068DB" w14:textId="77777777" w:rsidR="006C6BDE" w:rsidRDefault="00000000">
            <w:r>
              <w:rPr>
                <w:sz w:val="20"/>
                <w:szCs w:val="20"/>
              </w:rPr>
              <w:t>Public visibility</w:t>
            </w:r>
          </w:p>
        </w:tc>
        <w:tc>
          <w:tcPr>
            <w:tcW w:w="2400" w:type="dxa"/>
            <w:shd w:val="clear" w:color="auto" w:fill="F2F2F2"/>
            <w:tcMar>
              <w:top w:w="80" w:type="dxa"/>
              <w:left w:w="120" w:type="dxa"/>
              <w:bottom w:w="80" w:type="dxa"/>
              <w:right w:w="120" w:type="dxa"/>
            </w:tcMar>
          </w:tcPr>
          <w:p w14:paraId="5DE35B0B" w14:textId="77777777" w:rsidR="006C6BDE" w:rsidRDefault="00000000">
            <w:r>
              <w:rPr>
                <w:sz w:val="20"/>
                <w:szCs w:val="20"/>
              </w:rPr>
              <w:t>ELS search (after grant)</w:t>
            </w:r>
          </w:p>
        </w:tc>
        <w:tc>
          <w:tcPr>
            <w:tcW w:w="2400" w:type="dxa"/>
            <w:shd w:val="clear" w:color="auto" w:fill="F2F2F2"/>
            <w:tcMar>
              <w:top w:w="80" w:type="dxa"/>
              <w:left w:w="120" w:type="dxa"/>
              <w:bottom w:w="80" w:type="dxa"/>
              <w:right w:w="120" w:type="dxa"/>
            </w:tcMar>
          </w:tcPr>
          <w:p w14:paraId="7628ABC1" w14:textId="77777777" w:rsidR="006C6BDE" w:rsidRDefault="00000000">
            <w:r>
              <w:rPr>
                <w:sz w:val="20"/>
                <w:szCs w:val="20"/>
              </w:rPr>
              <w:t>ELS (after staff entry)</w:t>
            </w:r>
          </w:p>
        </w:tc>
        <w:tc>
          <w:tcPr>
            <w:tcW w:w="2360" w:type="dxa"/>
            <w:shd w:val="clear" w:color="auto" w:fill="F2F2F2"/>
            <w:tcMar>
              <w:top w:w="80" w:type="dxa"/>
              <w:left w:w="120" w:type="dxa"/>
              <w:bottom w:w="80" w:type="dxa"/>
              <w:right w:w="120" w:type="dxa"/>
            </w:tcMar>
          </w:tcPr>
          <w:p w14:paraId="1152077F" w14:textId="77777777" w:rsidR="006C6BDE" w:rsidRDefault="00000000">
            <w:r>
              <w:rPr>
                <w:sz w:val="20"/>
                <w:szCs w:val="20"/>
              </w:rPr>
              <w:t>ELS (real-time)</w:t>
            </w:r>
          </w:p>
        </w:tc>
      </w:tr>
      <w:tr w:rsidR="006A5F14" w14:paraId="6DFAAB47" w14:textId="77777777">
        <w:tblPrEx>
          <w:tblCellMar>
            <w:top w:w="0" w:type="dxa"/>
            <w:bottom w:w="0" w:type="dxa"/>
          </w:tblCellMar>
        </w:tblPrEx>
        <w:tc>
          <w:tcPr>
            <w:tcW w:w="2200" w:type="dxa"/>
            <w:tcMar>
              <w:top w:w="80" w:type="dxa"/>
              <w:left w:w="120" w:type="dxa"/>
              <w:bottom w:w="80" w:type="dxa"/>
              <w:right w:w="120" w:type="dxa"/>
            </w:tcMar>
          </w:tcPr>
          <w:p w14:paraId="1002240D" w14:textId="77777777" w:rsidR="006C6BDE" w:rsidRDefault="00000000">
            <w:r>
              <w:rPr>
                <w:sz w:val="20"/>
                <w:szCs w:val="20"/>
              </w:rPr>
              <w:t>Facilitation obligation</w:t>
            </w:r>
          </w:p>
        </w:tc>
        <w:tc>
          <w:tcPr>
            <w:tcW w:w="2400" w:type="dxa"/>
            <w:tcMar>
              <w:top w:w="80" w:type="dxa"/>
              <w:left w:w="120" w:type="dxa"/>
              <w:bottom w:w="80" w:type="dxa"/>
              <w:right w:w="120" w:type="dxa"/>
            </w:tcMar>
          </w:tcPr>
          <w:p w14:paraId="3D2DC1D7" w14:textId="77777777" w:rsidR="006C6BDE" w:rsidRDefault="00000000">
            <w:r>
              <w:rPr>
                <w:sz w:val="20"/>
                <w:szCs w:val="20"/>
              </w:rPr>
              <w:t>Implicit only</w:t>
            </w:r>
          </w:p>
        </w:tc>
        <w:tc>
          <w:tcPr>
            <w:tcW w:w="2400" w:type="dxa"/>
            <w:tcMar>
              <w:top w:w="80" w:type="dxa"/>
              <w:left w:w="120" w:type="dxa"/>
              <w:bottom w:w="80" w:type="dxa"/>
              <w:right w:w="120" w:type="dxa"/>
            </w:tcMar>
          </w:tcPr>
          <w:p w14:paraId="1F723B03" w14:textId="77777777" w:rsidR="006C6BDE" w:rsidRDefault="00000000">
            <w:r>
              <w:rPr>
                <w:sz w:val="20"/>
                <w:szCs w:val="20"/>
              </w:rPr>
              <w:t>Explicit condition</w:t>
            </w:r>
          </w:p>
        </w:tc>
        <w:tc>
          <w:tcPr>
            <w:tcW w:w="2360" w:type="dxa"/>
            <w:tcMar>
              <w:top w:w="80" w:type="dxa"/>
              <w:left w:w="120" w:type="dxa"/>
              <w:bottom w:w="80" w:type="dxa"/>
              <w:right w:w="120" w:type="dxa"/>
            </w:tcMar>
          </w:tcPr>
          <w:p w14:paraId="7C4E96C3" w14:textId="77777777" w:rsidR="006C6BDE" w:rsidRDefault="00000000">
            <w:r>
              <w:rPr>
                <w:sz w:val="20"/>
                <w:szCs w:val="20"/>
              </w:rPr>
              <w:t>Codified in rules</w:t>
            </w:r>
          </w:p>
        </w:tc>
      </w:tr>
      <w:tr w:rsidR="006A5F14" w14:paraId="2B3A3490" w14:textId="77777777">
        <w:tblPrEx>
          <w:tblCellMar>
            <w:top w:w="0" w:type="dxa"/>
            <w:bottom w:w="0" w:type="dxa"/>
          </w:tblCellMar>
        </w:tblPrEx>
        <w:tc>
          <w:tcPr>
            <w:tcW w:w="2200" w:type="dxa"/>
            <w:tcMar>
              <w:top w:w="80" w:type="dxa"/>
              <w:left w:w="120" w:type="dxa"/>
              <w:bottom w:w="80" w:type="dxa"/>
              <w:right w:w="120" w:type="dxa"/>
            </w:tcMar>
          </w:tcPr>
          <w:p w14:paraId="4489A71F" w14:textId="77777777" w:rsidR="006C6BDE" w:rsidRDefault="00000000">
            <w:r>
              <w:rPr>
                <w:sz w:val="20"/>
                <w:szCs w:val="20"/>
              </w:rPr>
              <w:t>Authority required</w:t>
            </w:r>
          </w:p>
        </w:tc>
        <w:tc>
          <w:tcPr>
            <w:tcW w:w="2400" w:type="dxa"/>
            <w:shd w:val="clear" w:color="auto" w:fill="F2F2F2"/>
            <w:tcMar>
              <w:top w:w="80" w:type="dxa"/>
              <w:left w:w="120" w:type="dxa"/>
              <w:bottom w:w="80" w:type="dxa"/>
              <w:right w:w="120" w:type="dxa"/>
            </w:tcMar>
          </w:tcPr>
          <w:p w14:paraId="6FDD327D" w14:textId="77777777" w:rsidR="006C6BDE" w:rsidRDefault="00000000">
            <w:r>
              <w:rPr>
                <w:sz w:val="20"/>
                <w:szCs w:val="20"/>
              </w:rPr>
              <w:t>Existing</w:t>
            </w:r>
          </w:p>
        </w:tc>
        <w:tc>
          <w:tcPr>
            <w:tcW w:w="2400" w:type="dxa"/>
            <w:shd w:val="clear" w:color="auto" w:fill="F2F2F2"/>
            <w:tcMar>
              <w:top w:w="80" w:type="dxa"/>
              <w:left w:w="120" w:type="dxa"/>
              <w:bottom w:w="80" w:type="dxa"/>
              <w:right w:w="120" w:type="dxa"/>
            </w:tcMar>
          </w:tcPr>
          <w:p w14:paraId="13E6EAA3" w14:textId="77777777" w:rsidR="006C6BDE" w:rsidRDefault="00000000">
            <w:r>
              <w:rPr>
                <w:sz w:val="20"/>
                <w:szCs w:val="20"/>
              </w:rPr>
              <w:t>Existing (PN only)</w:t>
            </w:r>
          </w:p>
        </w:tc>
        <w:tc>
          <w:tcPr>
            <w:tcW w:w="2360" w:type="dxa"/>
            <w:shd w:val="clear" w:color="auto" w:fill="F2F2F2"/>
            <w:tcMar>
              <w:top w:w="80" w:type="dxa"/>
              <w:left w:w="120" w:type="dxa"/>
              <w:bottom w:w="80" w:type="dxa"/>
              <w:right w:w="120" w:type="dxa"/>
            </w:tcMar>
          </w:tcPr>
          <w:p w14:paraId="1CC42132" w14:textId="77777777" w:rsidR="006C6BDE" w:rsidRDefault="00000000">
            <w:r>
              <w:rPr>
                <w:sz w:val="20"/>
                <w:szCs w:val="20"/>
              </w:rPr>
              <w:t>Rulemaking</w:t>
            </w:r>
          </w:p>
        </w:tc>
      </w:tr>
    </w:tbl>
    <w:p w14:paraId="72FF3108" w14:textId="77777777" w:rsidR="006C6BDE" w:rsidRDefault="006C6BDE">
      <w:pPr>
        <w:spacing w:after="200"/>
      </w:pPr>
    </w:p>
    <w:p w14:paraId="4308ED01" w14:textId="77777777" w:rsidR="006C6BDE" w:rsidRDefault="00000000">
      <w:r>
        <w:br w:type="page"/>
      </w:r>
    </w:p>
    <w:p w14:paraId="487904D2" w14:textId="77777777" w:rsidR="006C6BDE" w:rsidRDefault="00000000">
      <w:pPr>
        <w:pStyle w:val="Heading1"/>
      </w:pPr>
      <w:bookmarkStart w:id="45" w:name="_Toc231364990"/>
      <w:r>
        <w:lastRenderedPageBreak/>
        <w:t>IX. Special Event Definition: Reference Criteria Summary</w:t>
      </w:r>
      <w:bookmarkEnd w:id="45"/>
    </w:p>
    <w:p w14:paraId="65BAD4BD" w14:textId="77777777" w:rsidR="006C6BDE" w:rsidRDefault="00000000">
      <w:pPr>
        <w:spacing w:after="200"/>
      </w:pPr>
      <w:r>
        <w:t>The following table summarizes independently verifiable criteria from existing frameworks that could inform an FCC special event definition: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00"/>
        <w:gridCol w:w="2500"/>
        <w:gridCol w:w="2360"/>
      </w:tblGrid>
      <w:tr w:rsidR="006A5F14" w14:paraId="6618944F" w14:textId="77777777">
        <w:tblPrEx>
          <w:tblCellMar>
            <w:top w:w="0" w:type="dxa"/>
            <w:bottom w:w="0" w:type="dxa"/>
          </w:tblCellMar>
        </w:tblPrEx>
        <w:tc>
          <w:tcPr>
            <w:tcW w:w="2000" w:type="dxa"/>
            <w:shd w:val="clear" w:color="auto" w:fill="1F3864"/>
            <w:tcMar>
              <w:top w:w="80" w:type="dxa"/>
              <w:left w:w="120" w:type="dxa"/>
              <w:bottom w:w="80" w:type="dxa"/>
              <w:right w:w="120" w:type="dxa"/>
            </w:tcMar>
          </w:tcPr>
          <w:p w14:paraId="4B803871" w14:textId="77777777" w:rsidR="006C6BDE" w:rsidRDefault="00000000">
            <w:r>
              <w:rPr>
                <w:b/>
                <w:bCs/>
                <w:color w:val="FFFFFF"/>
                <w:sz w:val="20"/>
                <w:szCs w:val="20"/>
              </w:rPr>
              <w:t>Framework</w:t>
            </w:r>
          </w:p>
        </w:tc>
        <w:tc>
          <w:tcPr>
            <w:tcW w:w="2500" w:type="dxa"/>
            <w:shd w:val="clear" w:color="auto" w:fill="1F3864"/>
            <w:tcMar>
              <w:top w:w="80" w:type="dxa"/>
              <w:left w:w="120" w:type="dxa"/>
              <w:bottom w:w="80" w:type="dxa"/>
              <w:right w:w="120" w:type="dxa"/>
            </w:tcMar>
          </w:tcPr>
          <w:p w14:paraId="11022277" w14:textId="77777777" w:rsidR="006C6BDE" w:rsidRDefault="00000000">
            <w:r>
              <w:rPr>
                <w:b/>
                <w:bCs/>
                <w:color w:val="FFFFFF"/>
                <w:sz w:val="20"/>
                <w:szCs w:val="20"/>
              </w:rPr>
              <w:t>Authority</w:t>
            </w:r>
          </w:p>
        </w:tc>
        <w:tc>
          <w:tcPr>
            <w:tcW w:w="2500" w:type="dxa"/>
            <w:shd w:val="clear" w:color="auto" w:fill="1F3864"/>
            <w:tcMar>
              <w:top w:w="80" w:type="dxa"/>
              <w:left w:w="120" w:type="dxa"/>
              <w:bottom w:w="80" w:type="dxa"/>
              <w:right w:w="120" w:type="dxa"/>
            </w:tcMar>
          </w:tcPr>
          <w:p w14:paraId="19F0F9C9" w14:textId="77777777" w:rsidR="006C6BDE" w:rsidRDefault="00000000">
            <w:r>
              <w:rPr>
                <w:b/>
                <w:bCs/>
                <w:color w:val="FFFFFF"/>
                <w:sz w:val="20"/>
                <w:szCs w:val="20"/>
              </w:rPr>
              <w:t>Threshold / Criteria</w:t>
            </w:r>
          </w:p>
        </w:tc>
        <w:tc>
          <w:tcPr>
            <w:tcW w:w="2360" w:type="dxa"/>
            <w:shd w:val="clear" w:color="auto" w:fill="1F3864"/>
            <w:tcMar>
              <w:top w:w="80" w:type="dxa"/>
              <w:left w:w="120" w:type="dxa"/>
              <w:bottom w:w="80" w:type="dxa"/>
              <w:right w:w="120" w:type="dxa"/>
            </w:tcMar>
          </w:tcPr>
          <w:p w14:paraId="4CAB6398" w14:textId="77777777" w:rsidR="006C6BDE" w:rsidRDefault="00000000">
            <w:r>
              <w:rPr>
                <w:b/>
                <w:bCs/>
                <w:color w:val="FFFFFF"/>
                <w:sz w:val="20"/>
                <w:szCs w:val="20"/>
              </w:rPr>
              <w:t>Verifiability</w:t>
            </w:r>
          </w:p>
        </w:tc>
      </w:tr>
      <w:tr w:rsidR="006A5F14" w14:paraId="7704ADA4" w14:textId="77777777">
        <w:tblPrEx>
          <w:tblCellMar>
            <w:top w:w="0" w:type="dxa"/>
            <w:bottom w:w="0" w:type="dxa"/>
          </w:tblCellMar>
        </w:tblPrEx>
        <w:tc>
          <w:tcPr>
            <w:tcW w:w="2000" w:type="dxa"/>
            <w:tcMar>
              <w:top w:w="80" w:type="dxa"/>
              <w:left w:w="120" w:type="dxa"/>
              <w:bottom w:w="80" w:type="dxa"/>
              <w:right w:w="120" w:type="dxa"/>
            </w:tcMar>
          </w:tcPr>
          <w:p w14:paraId="57FE8F96" w14:textId="77777777" w:rsidR="006C6BDE" w:rsidRDefault="00000000">
            <w:r>
              <w:rPr>
                <w:sz w:val="20"/>
                <w:szCs w:val="20"/>
              </w:rPr>
              <w:t>DHS SEAR</w:t>
            </w:r>
          </w:p>
        </w:tc>
        <w:tc>
          <w:tcPr>
            <w:tcW w:w="2500" w:type="dxa"/>
            <w:shd w:val="clear" w:color="auto" w:fill="F2F2F2"/>
            <w:tcMar>
              <w:top w:w="80" w:type="dxa"/>
              <w:left w:w="120" w:type="dxa"/>
              <w:bottom w:w="80" w:type="dxa"/>
              <w:right w:w="120" w:type="dxa"/>
            </w:tcMar>
          </w:tcPr>
          <w:p w14:paraId="5BD7551E" w14:textId="77777777" w:rsidR="006C6BDE" w:rsidRDefault="00000000">
            <w:r>
              <w:rPr>
                <w:sz w:val="20"/>
                <w:szCs w:val="20"/>
              </w:rPr>
              <w:t>DHS/FEMA</w:t>
            </w:r>
          </w:p>
        </w:tc>
        <w:tc>
          <w:tcPr>
            <w:tcW w:w="2500" w:type="dxa"/>
            <w:shd w:val="clear" w:color="auto" w:fill="F2F2F2"/>
            <w:tcMar>
              <w:top w:w="80" w:type="dxa"/>
              <w:left w:w="120" w:type="dxa"/>
              <w:bottom w:w="80" w:type="dxa"/>
              <w:right w:w="120" w:type="dxa"/>
            </w:tcMar>
          </w:tcPr>
          <w:p w14:paraId="6EE941C1" w14:textId="77777777" w:rsidR="006C6BDE" w:rsidRDefault="00000000">
            <w:r>
              <w:rPr>
                <w:sz w:val="20"/>
                <w:szCs w:val="20"/>
              </w:rPr>
              <w:t>5-tier threat/vulnerability scoring</w:t>
            </w:r>
          </w:p>
        </w:tc>
        <w:tc>
          <w:tcPr>
            <w:tcW w:w="2360" w:type="dxa"/>
            <w:shd w:val="clear" w:color="auto" w:fill="F2F2F2"/>
            <w:tcMar>
              <w:top w:w="80" w:type="dxa"/>
              <w:left w:w="120" w:type="dxa"/>
              <w:bottom w:w="80" w:type="dxa"/>
              <w:right w:w="120" w:type="dxa"/>
            </w:tcMar>
          </w:tcPr>
          <w:p w14:paraId="058C6B7F" w14:textId="77777777" w:rsidR="006C6BDE" w:rsidRDefault="00000000">
            <w:r>
              <w:rPr>
                <w:sz w:val="20"/>
                <w:szCs w:val="20"/>
              </w:rPr>
              <w:t>SEAR rating is assigned by DHS</w:t>
            </w:r>
          </w:p>
        </w:tc>
      </w:tr>
      <w:tr w:rsidR="006A5F14" w14:paraId="3756C697" w14:textId="77777777">
        <w:tblPrEx>
          <w:tblCellMar>
            <w:top w:w="0" w:type="dxa"/>
            <w:bottom w:w="0" w:type="dxa"/>
          </w:tblCellMar>
        </w:tblPrEx>
        <w:tc>
          <w:tcPr>
            <w:tcW w:w="2000" w:type="dxa"/>
            <w:tcMar>
              <w:top w:w="80" w:type="dxa"/>
              <w:left w:w="120" w:type="dxa"/>
              <w:bottom w:w="80" w:type="dxa"/>
              <w:right w:w="120" w:type="dxa"/>
            </w:tcMar>
          </w:tcPr>
          <w:p w14:paraId="098669DD" w14:textId="77777777" w:rsidR="006C6BDE" w:rsidRDefault="00000000">
            <w:r>
              <w:rPr>
                <w:sz w:val="20"/>
                <w:szCs w:val="20"/>
              </w:rPr>
              <w:t>NSSE</w:t>
            </w:r>
          </w:p>
        </w:tc>
        <w:tc>
          <w:tcPr>
            <w:tcW w:w="2500" w:type="dxa"/>
            <w:tcMar>
              <w:top w:w="80" w:type="dxa"/>
              <w:left w:w="120" w:type="dxa"/>
              <w:bottom w:w="80" w:type="dxa"/>
              <w:right w:w="120" w:type="dxa"/>
            </w:tcMar>
          </w:tcPr>
          <w:p w14:paraId="0497EB60" w14:textId="77777777" w:rsidR="006C6BDE" w:rsidRDefault="00000000">
            <w:r>
              <w:rPr>
                <w:sz w:val="20"/>
                <w:szCs w:val="20"/>
              </w:rPr>
              <w:t>PPD-22; Secretary of DHS</w:t>
            </w:r>
          </w:p>
        </w:tc>
        <w:tc>
          <w:tcPr>
            <w:tcW w:w="2500" w:type="dxa"/>
            <w:tcMar>
              <w:top w:w="80" w:type="dxa"/>
              <w:left w:w="120" w:type="dxa"/>
              <w:bottom w:w="80" w:type="dxa"/>
              <w:right w:w="120" w:type="dxa"/>
            </w:tcMar>
          </w:tcPr>
          <w:p w14:paraId="532D7C2B" w14:textId="77777777" w:rsidR="006C6BDE" w:rsidRDefault="00000000">
            <w:r>
              <w:rPr>
                <w:sz w:val="20"/>
                <w:szCs w:val="20"/>
              </w:rPr>
              <w:t>Attendance, significance, dignitaries, risk</w:t>
            </w:r>
          </w:p>
        </w:tc>
        <w:tc>
          <w:tcPr>
            <w:tcW w:w="2360" w:type="dxa"/>
            <w:tcMar>
              <w:top w:w="80" w:type="dxa"/>
              <w:left w:w="120" w:type="dxa"/>
              <w:bottom w:w="80" w:type="dxa"/>
              <w:right w:w="120" w:type="dxa"/>
            </w:tcMar>
          </w:tcPr>
          <w:p w14:paraId="1301639A" w14:textId="77777777" w:rsidR="006C6BDE" w:rsidRDefault="00000000">
            <w:r>
              <w:rPr>
                <w:sz w:val="20"/>
                <w:szCs w:val="20"/>
              </w:rPr>
              <w:t>Public designation by DHS Secretary</w:t>
            </w:r>
          </w:p>
        </w:tc>
      </w:tr>
      <w:tr w:rsidR="006A5F14" w14:paraId="7976EBA9" w14:textId="77777777">
        <w:tblPrEx>
          <w:tblCellMar>
            <w:top w:w="0" w:type="dxa"/>
            <w:bottom w:w="0" w:type="dxa"/>
          </w:tblCellMar>
        </w:tblPrEx>
        <w:tc>
          <w:tcPr>
            <w:tcW w:w="2000" w:type="dxa"/>
            <w:tcMar>
              <w:top w:w="80" w:type="dxa"/>
              <w:left w:w="120" w:type="dxa"/>
              <w:bottom w:w="80" w:type="dxa"/>
              <w:right w:w="120" w:type="dxa"/>
            </w:tcMar>
          </w:tcPr>
          <w:p w14:paraId="170D58D0" w14:textId="77777777" w:rsidR="006C6BDE" w:rsidRDefault="00000000">
            <w:r>
              <w:rPr>
                <w:sz w:val="20"/>
                <w:szCs w:val="20"/>
              </w:rPr>
              <w:t>FHWA Categories</w:t>
            </w:r>
          </w:p>
        </w:tc>
        <w:tc>
          <w:tcPr>
            <w:tcW w:w="2500" w:type="dxa"/>
            <w:shd w:val="clear" w:color="auto" w:fill="F2F2F2"/>
            <w:tcMar>
              <w:top w:w="80" w:type="dxa"/>
              <w:left w:w="120" w:type="dxa"/>
              <w:bottom w:w="80" w:type="dxa"/>
              <w:right w:w="120" w:type="dxa"/>
            </w:tcMar>
          </w:tcPr>
          <w:p w14:paraId="7614E1C0" w14:textId="77777777" w:rsidR="006C6BDE" w:rsidRDefault="00000000">
            <w:r>
              <w:rPr>
                <w:sz w:val="20"/>
                <w:szCs w:val="20"/>
              </w:rPr>
              <w:t>FHWA planned event guidance</w:t>
            </w:r>
          </w:p>
        </w:tc>
        <w:tc>
          <w:tcPr>
            <w:tcW w:w="2500" w:type="dxa"/>
            <w:shd w:val="clear" w:color="auto" w:fill="F2F2F2"/>
            <w:tcMar>
              <w:top w:w="80" w:type="dxa"/>
              <w:left w:w="120" w:type="dxa"/>
              <w:bottom w:w="80" w:type="dxa"/>
              <w:right w:w="120" w:type="dxa"/>
            </w:tcMar>
          </w:tcPr>
          <w:p w14:paraId="1A2579D0" w14:textId="77777777" w:rsidR="006C6BDE" w:rsidRDefault="00000000">
            <w:r>
              <w:rPr>
                <w:sz w:val="20"/>
                <w:szCs w:val="20"/>
              </w:rPr>
              <w:t>5 event categories by type/venue</w:t>
            </w:r>
          </w:p>
        </w:tc>
        <w:tc>
          <w:tcPr>
            <w:tcW w:w="2360" w:type="dxa"/>
            <w:shd w:val="clear" w:color="auto" w:fill="F2F2F2"/>
            <w:tcMar>
              <w:top w:w="80" w:type="dxa"/>
              <w:left w:w="120" w:type="dxa"/>
              <w:bottom w:w="80" w:type="dxa"/>
              <w:right w:w="120" w:type="dxa"/>
            </w:tcMar>
          </w:tcPr>
          <w:p w14:paraId="2ABEEC2B" w14:textId="77777777" w:rsidR="006C6BDE" w:rsidRDefault="00000000">
            <w:r>
              <w:rPr>
                <w:sz w:val="20"/>
                <w:szCs w:val="20"/>
              </w:rPr>
              <w:t>Event type self-evident</w:t>
            </w:r>
          </w:p>
        </w:tc>
      </w:tr>
      <w:tr w:rsidR="006A5F14" w14:paraId="5955DF29" w14:textId="77777777">
        <w:tblPrEx>
          <w:tblCellMar>
            <w:top w:w="0" w:type="dxa"/>
            <w:bottom w:w="0" w:type="dxa"/>
          </w:tblCellMar>
        </w:tblPrEx>
        <w:tc>
          <w:tcPr>
            <w:tcW w:w="2000" w:type="dxa"/>
            <w:tcMar>
              <w:top w:w="80" w:type="dxa"/>
              <w:left w:w="120" w:type="dxa"/>
              <w:bottom w:w="80" w:type="dxa"/>
              <w:right w:w="120" w:type="dxa"/>
            </w:tcMar>
          </w:tcPr>
          <w:p w14:paraId="623B9B84" w14:textId="77777777" w:rsidR="006C6BDE" w:rsidRDefault="00000000">
            <w:r>
              <w:rPr>
                <w:sz w:val="20"/>
                <w:szCs w:val="20"/>
              </w:rPr>
              <w:t>State mass gathering</w:t>
            </w:r>
          </w:p>
        </w:tc>
        <w:tc>
          <w:tcPr>
            <w:tcW w:w="2500" w:type="dxa"/>
            <w:tcMar>
              <w:top w:w="80" w:type="dxa"/>
              <w:left w:w="120" w:type="dxa"/>
              <w:bottom w:w="80" w:type="dxa"/>
              <w:right w:w="120" w:type="dxa"/>
            </w:tcMar>
          </w:tcPr>
          <w:p w14:paraId="23CA112A" w14:textId="77777777" w:rsidR="006C6BDE" w:rsidRDefault="00000000">
            <w:r>
              <w:rPr>
                <w:sz w:val="20"/>
                <w:szCs w:val="20"/>
              </w:rPr>
              <w:t>State statute (e.g., Tex. H&amp;S Ch. 751)</w:t>
            </w:r>
          </w:p>
        </w:tc>
        <w:tc>
          <w:tcPr>
            <w:tcW w:w="2500" w:type="dxa"/>
            <w:tcMar>
              <w:top w:w="80" w:type="dxa"/>
              <w:left w:w="120" w:type="dxa"/>
              <w:bottom w:w="80" w:type="dxa"/>
              <w:right w:w="120" w:type="dxa"/>
            </w:tcMar>
          </w:tcPr>
          <w:p w14:paraId="1A01358D" w14:textId="77777777" w:rsidR="006C6BDE" w:rsidRDefault="00000000">
            <w:r>
              <w:rPr>
                <w:sz w:val="20"/>
                <w:szCs w:val="20"/>
              </w:rPr>
              <w:t xml:space="preserve">2,500+ </w:t>
            </w:r>
            <w:proofErr w:type="gramStart"/>
            <w:r>
              <w:rPr>
                <w:sz w:val="20"/>
                <w:szCs w:val="20"/>
              </w:rPr>
              <w:t>persons</w:t>
            </w:r>
            <w:proofErr w:type="gramEnd"/>
            <w:r>
              <w:rPr>
                <w:sz w:val="20"/>
                <w:szCs w:val="20"/>
              </w:rPr>
              <w:t>; 5+ hours; outdoor</w:t>
            </w:r>
          </w:p>
        </w:tc>
        <w:tc>
          <w:tcPr>
            <w:tcW w:w="2360" w:type="dxa"/>
            <w:tcMar>
              <w:top w:w="80" w:type="dxa"/>
              <w:left w:w="120" w:type="dxa"/>
              <w:bottom w:w="80" w:type="dxa"/>
              <w:right w:w="120" w:type="dxa"/>
            </w:tcMar>
          </w:tcPr>
          <w:p w14:paraId="3B702C07" w14:textId="77777777" w:rsidR="006C6BDE" w:rsidRDefault="00000000">
            <w:r>
              <w:rPr>
                <w:sz w:val="20"/>
                <w:szCs w:val="20"/>
              </w:rPr>
              <w:t>State/county permit on file</w:t>
            </w:r>
          </w:p>
        </w:tc>
      </w:tr>
      <w:tr w:rsidR="006A5F14" w14:paraId="3B8D44C1" w14:textId="77777777">
        <w:tblPrEx>
          <w:tblCellMar>
            <w:top w:w="0" w:type="dxa"/>
            <w:bottom w:w="0" w:type="dxa"/>
          </w:tblCellMar>
        </w:tblPrEx>
        <w:tc>
          <w:tcPr>
            <w:tcW w:w="2000" w:type="dxa"/>
            <w:tcMar>
              <w:top w:w="80" w:type="dxa"/>
              <w:left w:w="120" w:type="dxa"/>
              <w:bottom w:w="80" w:type="dxa"/>
              <w:right w:w="120" w:type="dxa"/>
            </w:tcMar>
          </w:tcPr>
          <w:p w14:paraId="4E5F00D5" w14:textId="77777777" w:rsidR="006C6BDE" w:rsidRDefault="00000000">
            <w:r>
              <w:rPr>
                <w:sz w:val="20"/>
                <w:szCs w:val="20"/>
              </w:rPr>
              <w:t>Local special event permit</w:t>
            </w:r>
          </w:p>
        </w:tc>
        <w:tc>
          <w:tcPr>
            <w:tcW w:w="2500" w:type="dxa"/>
            <w:shd w:val="clear" w:color="auto" w:fill="F2F2F2"/>
            <w:tcMar>
              <w:top w:w="80" w:type="dxa"/>
              <w:left w:w="120" w:type="dxa"/>
              <w:bottom w:w="80" w:type="dxa"/>
              <w:right w:w="120" w:type="dxa"/>
            </w:tcMar>
          </w:tcPr>
          <w:p w14:paraId="2DAFDC86" w14:textId="77777777" w:rsidR="006C6BDE" w:rsidRDefault="00000000">
            <w:r>
              <w:rPr>
                <w:sz w:val="20"/>
                <w:szCs w:val="20"/>
              </w:rPr>
              <w:t>Municipal/county ordinance</w:t>
            </w:r>
          </w:p>
        </w:tc>
        <w:tc>
          <w:tcPr>
            <w:tcW w:w="2500" w:type="dxa"/>
            <w:shd w:val="clear" w:color="auto" w:fill="F2F2F2"/>
            <w:tcMar>
              <w:top w:w="80" w:type="dxa"/>
              <w:left w:w="120" w:type="dxa"/>
              <w:bottom w:w="80" w:type="dxa"/>
              <w:right w:w="120" w:type="dxa"/>
            </w:tcMar>
          </w:tcPr>
          <w:p w14:paraId="4EABBECB" w14:textId="77777777" w:rsidR="006C6BDE" w:rsidRDefault="00000000">
            <w:r>
              <w:rPr>
                <w:sz w:val="20"/>
                <w:szCs w:val="20"/>
              </w:rPr>
              <w:t>Varies (25–1,000+ attendees)</w:t>
            </w:r>
          </w:p>
        </w:tc>
        <w:tc>
          <w:tcPr>
            <w:tcW w:w="2360" w:type="dxa"/>
            <w:shd w:val="clear" w:color="auto" w:fill="F2F2F2"/>
            <w:tcMar>
              <w:top w:w="80" w:type="dxa"/>
              <w:left w:w="120" w:type="dxa"/>
              <w:bottom w:w="80" w:type="dxa"/>
              <w:right w:w="120" w:type="dxa"/>
            </w:tcMar>
          </w:tcPr>
          <w:p w14:paraId="2DC361D7" w14:textId="77777777" w:rsidR="006C6BDE" w:rsidRDefault="00000000">
            <w:r>
              <w:rPr>
                <w:sz w:val="20"/>
                <w:szCs w:val="20"/>
              </w:rPr>
              <w:t>Local permit on file</w:t>
            </w:r>
          </w:p>
        </w:tc>
      </w:tr>
      <w:tr w:rsidR="006A5F14" w14:paraId="695037C4" w14:textId="77777777">
        <w:tblPrEx>
          <w:tblCellMar>
            <w:top w:w="0" w:type="dxa"/>
            <w:bottom w:w="0" w:type="dxa"/>
          </w:tblCellMar>
        </w:tblPrEx>
        <w:tc>
          <w:tcPr>
            <w:tcW w:w="2000" w:type="dxa"/>
            <w:tcMar>
              <w:top w:w="80" w:type="dxa"/>
              <w:left w:w="120" w:type="dxa"/>
              <w:bottom w:w="80" w:type="dxa"/>
              <w:right w:w="120" w:type="dxa"/>
            </w:tcMar>
          </w:tcPr>
          <w:p w14:paraId="35937D2D" w14:textId="77777777" w:rsidR="006C6BDE" w:rsidRDefault="00000000">
            <w:r>
              <w:rPr>
                <w:sz w:val="20"/>
                <w:szCs w:val="20"/>
              </w:rPr>
              <w:t>Venue-based</w:t>
            </w:r>
          </w:p>
        </w:tc>
        <w:tc>
          <w:tcPr>
            <w:tcW w:w="2500" w:type="dxa"/>
            <w:tcMar>
              <w:top w:w="80" w:type="dxa"/>
              <w:left w:w="120" w:type="dxa"/>
              <w:bottom w:w="80" w:type="dxa"/>
              <w:right w:w="120" w:type="dxa"/>
            </w:tcMar>
          </w:tcPr>
          <w:p w14:paraId="7635F1C0" w14:textId="77777777" w:rsidR="006C6BDE" w:rsidRDefault="00000000">
            <w:r>
              <w:rPr>
                <w:sz w:val="20"/>
                <w:szCs w:val="20"/>
              </w:rPr>
              <w:t>N/A (proposed FCC criterion)</w:t>
            </w:r>
          </w:p>
        </w:tc>
        <w:tc>
          <w:tcPr>
            <w:tcW w:w="2500" w:type="dxa"/>
            <w:tcMar>
              <w:top w:w="80" w:type="dxa"/>
              <w:left w:w="120" w:type="dxa"/>
              <w:bottom w:w="80" w:type="dxa"/>
              <w:right w:w="120" w:type="dxa"/>
            </w:tcMar>
          </w:tcPr>
          <w:p w14:paraId="0E883AC1" w14:textId="77777777" w:rsidR="006C6BDE" w:rsidRDefault="00000000">
            <w:r>
              <w:rPr>
                <w:sz w:val="20"/>
                <w:szCs w:val="20"/>
              </w:rPr>
              <w:t>Permanent venue with capacity 2,500+</w:t>
            </w:r>
          </w:p>
        </w:tc>
        <w:tc>
          <w:tcPr>
            <w:tcW w:w="2360" w:type="dxa"/>
            <w:tcMar>
              <w:top w:w="80" w:type="dxa"/>
              <w:left w:w="120" w:type="dxa"/>
              <w:bottom w:w="80" w:type="dxa"/>
              <w:right w:w="120" w:type="dxa"/>
            </w:tcMar>
          </w:tcPr>
          <w:p w14:paraId="1B42B616" w14:textId="77777777" w:rsidR="006C6BDE" w:rsidRDefault="00000000">
            <w:r>
              <w:rPr>
                <w:sz w:val="20"/>
                <w:szCs w:val="20"/>
              </w:rPr>
              <w:t>Venue capacity is public record</w:t>
            </w:r>
          </w:p>
        </w:tc>
      </w:tr>
    </w:tbl>
    <w:p w14:paraId="457848DF" w14:textId="77777777" w:rsidR="006C6BDE" w:rsidRDefault="006C6BDE">
      <w:pPr>
        <w:spacing w:after="200"/>
      </w:pPr>
    </w:p>
    <w:p w14:paraId="329077B7" w14:textId="77777777" w:rsidR="006C6BDE" w:rsidRDefault="00000000">
      <w:r>
        <w:br w:type="page"/>
      </w:r>
    </w:p>
    <w:p w14:paraId="6B4D861D" w14:textId="77777777" w:rsidR="006C6BDE" w:rsidRDefault="00000000">
      <w:pPr>
        <w:pStyle w:val="Heading1"/>
      </w:pPr>
      <w:bookmarkStart w:id="46" w:name="_Toc231364991"/>
      <w:r>
        <w:lastRenderedPageBreak/>
        <w:t>X. Conclusion</w:t>
      </w:r>
      <w:bookmarkEnd w:id="46"/>
    </w:p>
    <w:p w14:paraId="181EF030" w14:textId="77777777" w:rsidR="006C6BDE" w:rsidRDefault="00000000">
      <w:pPr>
        <w:spacing w:after="200"/>
      </w:pPr>
      <w:r>
        <w:t>The Commission’s use of Part 5 experimental authority for event production spectrum licensing has been a pragmatic response to a genuine regulatory gap. No existing service provides the combination of flexibility, bandwidth, and speed that live event production demands. The result—hundreds of individual STA filings for functionally identical operations—serves neither applicants nor the Commission well.</w:t>
      </w:r>
    </w:p>
    <w:p w14:paraId="75F11968" w14:textId="77777777" w:rsidR="006C6BDE" w:rsidRDefault="00000000">
      <w:pPr>
        <w:spacing w:after="200"/>
      </w:pPr>
      <w:r>
        <w:t>The framework proposed here offers a path from the current ad hoc practice to a principled, efficient regime. Phase 1 provides immediate relief through nationwide licenses with a letter-filing process—implementable now, under existing authority, via Public Notice. Phase 2 modernizes the ELS database to support self-service location activations, eliminating the need for staff-mediated data entry. Phase 3 codifies the “special event” purpose through rulemaking, establishing permanent rules informed by public comment.</w:t>
      </w:r>
    </w:p>
    <w:p w14:paraId="3D689EEC" w14:textId="77777777" w:rsidR="006C6BDE" w:rsidRDefault="00000000">
      <w:pPr>
        <w:spacing w:after="200"/>
      </w:pPr>
      <w:r>
        <w:t>Throughout all three phases, the experimentation facilitation condition serves as the legal linchpin and policy safeguard. It grounds event production licensing in Section 303(g)’s mandate, provides a principled distinction from authority in other services, supplies a self-selecting definitional mechanism, and deters abuse of the nationwide license framework. Entities that are genuinely engaged in event production will find the condition costless; entities seeking to exploit Part 5’s flexibility for other purposes will find it prohibitive.</w:t>
      </w:r>
    </w:p>
    <w:p w14:paraId="71A58C30" w14:textId="77777777" w:rsidR="006C6BDE" w:rsidRDefault="00000000">
      <w:pPr>
        <w:spacing w:after="200"/>
      </w:pPr>
      <w:r>
        <w:t>The Commission’s own recent actions—particularly the LA28 Olympics STA, the Sports Broadcasting NOI, and the pattern of BAS coordinator designations—confirm that the status quo is unsustainable and that the Commission recognizes the need for reform. The three-phase framework proposed here provides a roadmap from immediate administrative relief to long-term structural change, grounded at every step in the Commission’s existing authority and the Experimental Radio Service’s statutory purpose.</w:t>
      </w:r>
    </w:p>
    <w:sectPr w:rsidR="006C6BD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9455" w14:textId="77777777" w:rsidR="00DE7ABA" w:rsidRDefault="00DE7ABA">
      <w:r>
        <w:separator/>
      </w:r>
    </w:p>
  </w:endnote>
  <w:endnote w:type="continuationSeparator" w:id="0">
    <w:p w14:paraId="2A49C8CF" w14:textId="77777777" w:rsidR="00DE7ABA" w:rsidRDefault="00D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781E" w14:textId="77777777" w:rsidR="006C6BDE" w:rsidRDefault="00000000">
    <w:pPr>
      <w:jc w:val="cente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6A5F14">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F8A8" w14:textId="77777777" w:rsidR="00DE7ABA" w:rsidRDefault="00DE7ABA">
      <w:r>
        <w:separator/>
      </w:r>
    </w:p>
  </w:footnote>
  <w:footnote w:type="continuationSeparator" w:id="0">
    <w:p w14:paraId="10699BD9" w14:textId="77777777" w:rsidR="00DE7ABA" w:rsidRDefault="00DE7ABA">
      <w:r>
        <w:continuationSeparator/>
      </w:r>
    </w:p>
  </w:footnote>
  <w:footnote w:id="1">
    <w:p w14:paraId="607B706B" w14:textId="77777777" w:rsidR="006C6BDE" w:rsidRDefault="00000000">
      <w:r>
        <w:rPr>
          <w:rStyle w:val="FootnoteReference"/>
        </w:rPr>
        <w:footnoteRef/>
      </w:r>
      <w:r>
        <w:rPr>
          <w:sz w:val="18"/>
          <w:szCs w:val="18"/>
        </w:rPr>
        <w:t>47 C.F.R. Part 5 — Experimental Radio Service. See especially § 5.3 (definitions), § 5.61 (STA), § 5.77 (modifications).</w:t>
      </w:r>
    </w:p>
  </w:footnote>
  <w:footnote w:id="2">
    <w:p w14:paraId="7A9495A1" w14:textId="77777777" w:rsidR="006C6BDE" w:rsidRDefault="00000000">
      <w:r>
        <w:rPr>
          <w:rStyle w:val="FootnoteReference"/>
        </w:rPr>
        <w:footnoteRef/>
      </w:r>
      <w:r>
        <w:rPr>
          <w:sz w:val="18"/>
          <w:szCs w:val="18"/>
        </w:rPr>
        <w:t>Wireless Microphone Spectrum Alliance (WMSA) comments in ET Docket No. 14-165: STAs are "ad hoc, unpredictable, burdensome on staff and simply not a viable long-term solution."</w:t>
      </w:r>
    </w:p>
  </w:footnote>
  <w:footnote w:id="3">
    <w:p w14:paraId="313D3CBF" w14:textId="77777777" w:rsidR="006C6BDE" w:rsidRDefault="00000000">
      <w:r>
        <w:rPr>
          <w:rStyle w:val="FootnoteReference"/>
        </w:rPr>
        <w:footnoteRef/>
      </w:r>
      <w:r>
        <w:rPr>
          <w:sz w:val="18"/>
          <w:szCs w:val="18"/>
        </w:rPr>
        <w:t>Broadcast Sports International filings in ELS: 100+ EX-ST applications in 2021 alone, station class MO, operating at 3.6 GHz COFDM for NASCAR and NFL events.</w:t>
      </w:r>
    </w:p>
  </w:footnote>
  <w:footnote w:id="4">
    <w:p w14:paraId="15503D96" w14:textId="77777777" w:rsidR="006C6BDE" w:rsidRDefault="00000000">
      <w:r>
        <w:rPr>
          <w:rStyle w:val="FootnoteReference"/>
        </w:rPr>
        <w:footnoteRef/>
      </w:r>
      <w:r>
        <w:rPr>
          <w:sz w:val="18"/>
          <w:szCs w:val="18"/>
        </w:rPr>
        <w:t xml:space="preserve">DA 25-910, In re Los Angeles Organizing Committee for the Olympic and Paralympic Games 2028 (rel. Aug. 2025). Part 90 STA with nationwide scope, 80-mile radius, waivers of dozens of </w:t>
      </w:r>
      <w:proofErr w:type="gramStart"/>
      <w:r>
        <w:rPr>
          <w:sz w:val="18"/>
          <w:szCs w:val="18"/>
        </w:rPr>
        <w:t>Part</w:t>
      </w:r>
      <w:proofErr w:type="gramEnd"/>
      <w:r>
        <w:rPr>
          <w:sz w:val="18"/>
          <w:szCs w:val="18"/>
        </w:rPr>
        <w:t xml:space="preserve"> 90 rules, 180-day duration (March 5 – Sept. 1, 2028).</w:t>
      </w:r>
    </w:p>
  </w:footnote>
  <w:footnote w:id="5">
    <w:p w14:paraId="425760EF" w14:textId="77777777" w:rsidR="006C6BDE" w:rsidRDefault="00000000">
      <w:r>
        <w:rPr>
          <w:rStyle w:val="FootnoteReference"/>
        </w:rPr>
        <w:footnoteRef/>
      </w:r>
      <w:r>
        <w:rPr>
          <w:sz w:val="18"/>
          <w:szCs w:val="18"/>
        </w:rPr>
        <w:t>47 U.S.C. § 303(g): The Commission shall "study new uses for radio, provide for experimental uses of frequencies, and generally encourage the larger and more effective use of radio in the public interest."</w:t>
      </w:r>
    </w:p>
  </w:footnote>
  <w:footnote w:id="6">
    <w:p w14:paraId="2D2E8891" w14:textId="77777777" w:rsidR="006A5F14" w:rsidRDefault="006A5F14"/>
    <w:p w14:paraId="6D39F10C" w14:textId="77777777" w:rsidR="00000000" w:rsidRDefault="00000000"/>
  </w:footnote>
  <w:footnote w:id="7">
    <w:p w14:paraId="62E15969" w14:textId="77777777" w:rsidR="006A5F14" w:rsidRDefault="006A5F14"/>
    <w:p w14:paraId="7A2FFB51" w14:textId="77777777" w:rsidR="00000000" w:rsidRDefault="00000000"/>
  </w:footnote>
  <w:footnote w:id="8">
    <w:p w14:paraId="1DC93B07" w14:textId="77777777" w:rsidR="006A5F14" w:rsidRDefault="006A5F14"/>
    <w:p w14:paraId="4BEA44E6" w14:textId="77777777" w:rsidR="00000000" w:rsidRDefault="00000000"/>
  </w:footnote>
  <w:footnote w:id="9">
    <w:p w14:paraId="7561FEB9" w14:textId="77777777" w:rsidR="006C6BDE" w:rsidRDefault="00000000">
      <w:r>
        <w:rPr>
          <w:rStyle w:val="FootnoteReference"/>
        </w:rPr>
        <w:footnoteRef/>
      </w:r>
      <w:r>
        <w:rPr>
          <w:sz w:val="18"/>
          <w:szCs w:val="18"/>
        </w:rPr>
        <w:t>Goodyear Tire and Rubber Co. experimental STAs for aerial camera platforms at sporting events, including 2.3 GHz Communications Service band operations for Rose Bowl coverage.</w:t>
      </w:r>
    </w:p>
  </w:footnote>
  <w:footnote w:id="10">
    <w:p w14:paraId="4B75F0DF" w14:textId="77777777" w:rsidR="006C6BDE" w:rsidRDefault="00000000">
      <w:r>
        <w:rPr>
          <w:rStyle w:val="FootnoteReference"/>
        </w:rPr>
        <w:footnoteRef/>
      </w:r>
      <w:r>
        <w:rPr>
          <w:sz w:val="18"/>
          <w:szCs w:val="18"/>
        </w:rPr>
        <w:t>North American Spectrum Alliance (NASPA) — coalition including NFL, MLB, UFL, USTA, and Fox Sports — has advocated for streamlined spectrum access for live event production.</w:t>
      </w:r>
    </w:p>
  </w:footnote>
  <w:footnote w:id="11">
    <w:p w14:paraId="06A689FC" w14:textId="77777777" w:rsidR="006A5F14" w:rsidRDefault="006A5F14"/>
    <w:p w14:paraId="3E083C66" w14:textId="77777777" w:rsidR="00000000" w:rsidRDefault="00000000"/>
  </w:footnote>
  <w:footnote w:id="12">
    <w:p w14:paraId="5D01E334" w14:textId="77777777" w:rsidR="006C6BDE" w:rsidRDefault="00000000">
      <w:r>
        <w:rPr>
          <w:rStyle w:val="FootnoteReference"/>
        </w:rPr>
        <w:footnoteRef/>
      </w:r>
      <w:r>
        <w:rPr>
          <w:sz w:val="18"/>
          <w:szCs w:val="18"/>
        </w:rPr>
        <w:t>6 GHz Wi-Fi 6E interference documented at four NFL venues and one MLB venue, plus NCAA basketball tournament sites, causing disruption to licensed broadcast auxiliary operations.</w:t>
      </w:r>
    </w:p>
  </w:footnote>
  <w:footnote w:id="13">
    <w:p w14:paraId="2C762D0A" w14:textId="77777777" w:rsidR="006A5F14" w:rsidRDefault="006A5F14"/>
    <w:p w14:paraId="4CAAA8BB" w14:textId="77777777" w:rsidR="00000000" w:rsidRDefault="00000000"/>
  </w:footnote>
  <w:footnote w:id="14">
    <w:p w14:paraId="4A17EE71" w14:textId="77777777" w:rsidR="006C6BDE" w:rsidRDefault="00000000">
      <w:r>
        <w:rPr>
          <w:rStyle w:val="FootnoteReference"/>
        </w:rPr>
        <w:footnoteRef/>
      </w:r>
      <w:r>
        <w:rPr>
          <w:sz w:val="18"/>
          <w:szCs w:val="18"/>
        </w:rPr>
        <w:t>DHS Special Event Assessment Rating (SEAR) system: five-tier classification (SEAR 1–5) based on threat, vulnerability, and consequence scoring. SEAR 1 events include the Super Bowl and major marathons.</w:t>
      </w:r>
    </w:p>
  </w:footnote>
  <w:footnote w:id="15">
    <w:p w14:paraId="13233D18" w14:textId="77777777" w:rsidR="006C6BDE" w:rsidRDefault="00000000">
      <w:r>
        <w:rPr>
          <w:rStyle w:val="FootnoteReference"/>
        </w:rPr>
        <w:footnoteRef/>
      </w:r>
      <w:r>
        <w:rPr>
          <w:sz w:val="18"/>
          <w:szCs w:val="18"/>
        </w:rPr>
        <w:t>National Special Security Events (NSSE) are designated by the Secretary of Homeland Security pursuant to Presidential Policy Directive 22 (PPD-22), based on attendance, national significance, presence of dignitaries, and assessed risk.</w:t>
      </w:r>
    </w:p>
  </w:footnote>
  <w:footnote w:id="16">
    <w:p w14:paraId="49EB859A" w14:textId="77777777" w:rsidR="006C6BDE" w:rsidRDefault="00000000">
      <w:r>
        <w:rPr>
          <w:rStyle w:val="FootnoteReference"/>
        </w:rPr>
        <w:footnoteRef/>
      </w:r>
      <w:r>
        <w:rPr>
          <w:sz w:val="18"/>
          <w:szCs w:val="18"/>
        </w:rPr>
        <w:t>Federal Highway Administration, Managing Travel for Planned Special Events (2003). Five categories: discrete/recurring at permanent venues, continuous, street use, regional/multi-venue, and rural events.</w:t>
      </w:r>
    </w:p>
  </w:footnote>
  <w:footnote w:id="17">
    <w:p w14:paraId="6B715483" w14:textId="77777777" w:rsidR="006C6BDE" w:rsidRDefault="00000000">
      <w:r>
        <w:rPr>
          <w:rStyle w:val="FootnoteReference"/>
        </w:rPr>
        <w:footnoteRef/>
      </w:r>
      <w:r>
        <w:rPr>
          <w:sz w:val="18"/>
          <w:szCs w:val="18"/>
        </w:rPr>
        <w:t>32 C.F.R. Part 183 (removed 2018) previously defined DoD special event criteria; authority now consolidated in DoD Directive 3025.18.</w:t>
      </w:r>
    </w:p>
  </w:footnote>
  <w:footnote w:id="18">
    <w:p w14:paraId="75C4112F" w14:textId="77777777" w:rsidR="006C6BDE" w:rsidRDefault="00000000">
      <w:r>
        <w:rPr>
          <w:rStyle w:val="FootnoteReference"/>
        </w:rPr>
        <w:footnoteRef/>
      </w:r>
      <w:r>
        <w:rPr>
          <w:sz w:val="18"/>
          <w:szCs w:val="18"/>
        </w:rPr>
        <w:t xml:space="preserve">Tex. Health &amp; Safety Code </w:t>
      </w:r>
      <w:proofErr w:type="spellStart"/>
      <w:r>
        <w:rPr>
          <w:sz w:val="18"/>
          <w:szCs w:val="18"/>
        </w:rPr>
        <w:t>ch.</w:t>
      </w:r>
      <w:proofErr w:type="spellEnd"/>
      <w:r>
        <w:rPr>
          <w:sz w:val="18"/>
          <w:szCs w:val="18"/>
        </w:rPr>
        <w:t xml:space="preserve"> 751 (“Mass Gatherings”): outdoor assembly of 2,500+ persons (or 500+ if 51% or more are under 21 and alcohol is served), held outside municipality limits, remaining 5+ continuous hours.</w:t>
      </w:r>
    </w:p>
  </w:footnote>
  <w:footnote w:id="19">
    <w:p w14:paraId="7DD431FB" w14:textId="77777777" w:rsidR="006A5F14" w:rsidRDefault="006A5F14"/>
    <w:p w14:paraId="508E5867" w14:textId="77777777" w:rsidR="00000000" w:rsidRDefault="00000000"/>
  </w:footnote>
  <w:footnote w:id="20">
    <w:p w14:paraId="7FE248BF" w14:textId="77777777" w:rsidR="006C6BDE" w:rsidRDefault="00000000">
      <w:r>
        <w:rPr>
          <w:rStyle w:val="FootnoteReference"/>
        </w:rPr>
        <w:footnoteRef/>
      </w:r>
      <w:r>
        <w:rPr>
          <w:sz w:val="18"/>
          <w:szCs w:val="18"/>
        </w:rPr>
        <w:t>BAS frequency coordinator designations for major events: 2002 Salt Lake City Olympics, 2016/2020/2024 political conventions, 2021/2025 presidential inaugurations, FIFA Club World Cup 2025, FIFA World Cup 2026.</w:t>
      </w:r>
    </w:p>
  </w:footnote>
  <w:footnote w:id="21">
    <w:p w14:paraId="270DC5B8" w14:textId="77777777" w:rsidR="006C6BDE" w:rsidRDefault="00000000">
      <w:r>
        <w:rPr>
          <w:rStyle w:val="FootnoteReference"/>
        </w:rPr>
        <w:footnoteRef/>
      </w:r>
      <w:r>
        <w:rPr>
          <w:sz w:val="18"/>
          <w:szCs w:val="18"/>
        </w:rPr>
        <w:t>DA 26-438, designation of frequency coordinator for FIFA World Cup 2026 BAS operations.</w:t>
      </w:r>
    </w:p>
  </w:footnote>
  <w:footnote w:id="22">
    <w:p w14:paraId="5666E0E9" w14:textId="77777777" w:rsidR="006C6BDE" w:rsidRDefault="00000000">
      <w:r>
        <w:rPr>
          <w:rStyle w:val="FootnoteReference"/>
        </w:rPr>
        <w:footnoteRef/>
      </w:r>
      <w:r>
        <w:rPr>
          <w:sz w:val="18"/>
          <w:szCs w:val="18"/>
        </w:rPr>
        <w:t>DA 26-188, Sports Broadcasting and Spectrum Access NOI (2026), seeking comment on whether existing frameworks adequately serve live event production spectrum needs.</w:t>
      </w:r>
    </w:p>
  </w:footnote>
  <w:footnote w:id="23">
    <w:p w14:paraId="43CF25E8" w14:textId="77777777" w:rsidR="006C6BDE" w:rsidRDefault="00000000">
      <w:r>
        <w:rPr>
          <w:rStyle w:val="FootnoteReference"/>
        </w:rPr>
        <w:footnoteRef/>
      </w:r>
      <w:r>
        <w:rPr>
          <w:sz w:val="18"/>
          <w:szCs w:val="18"/>
        </w:rPr>
        <w:t>47 C.F.R. Part 96 — Citizens Broadband Radio Service (CBRS). Three-tiered sharing model: Incumbent Access (federal/FSS), Priority Access Licenses (PAL), and General Authorized Access (GAA), managed by Spectrum Access Systems (SAS).</w:t>
      </w:r>
    </w:p>
  </w:footnote>
  <w:footnote w:id="24">
    <w:p w14:paraId="7CEE1842" w14:textId="77777777" w:rsidR="006C6BDE" w:rsidRDefault="00000000">
      <w:r>
        <w:rPr>
          <w:rStyle w:val="FootnoteReference"/>
        </w:rPr>
        <w:footnoteRef/>
      </w:r>
      <w:r>
        <w:rPr>
          <w:sz w:val="18"/>
          <w:szCs w:val="18"/>
        </w:rPr>
        <w:t>Ofcom short-notice, short-duration licenses in the 2.3 GHz band (UK model) allow rapid deployment for event-based operations without the overhead of full licensing proceedings.</w:t>
      </w:r>
    </w:p>
  </w:footnote>
  <w:footnote w:id="25">
    <w:p w14:paraId="55259A28" w14:textId="77777777" w:rsidR="006C6BDE" w:rsidRDefault="00000000">
      <w:r>
        <w:rPr>
          <w:rStyle w:val="FootnoteReference"/>
        </w:rPr>
        <w:footnoteRef/>
      </w:r>
      <w:r>
        <w:rPr>
          <w:sz w:val="18"/>
          <w:szCs w:val="18"/>
        </w:rPr>
        <w:t>47 C.F.R. § 5.77: "A licensee may make minor modifications to a station authorized under this part without prior Commission approval." Location additions within a nationwide authorization area would constitute minor modifications under this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4439" w14:textId="77777777" w:rsidR="006C6BDE" w:rsidRDefault="00000000">
    <w:pPr>
      <w:jc w:val="right"/>
    </w:pPr>
    <w:r>
      <w:rPr>
        <w:i/>
        <w:iCs/>
        <w:color w:val="999999"/>
        <w:sz w:val="18"/>
        <w:szCs w:val="18"/>
      </w:rPr>
      <w:t>Special Events Spectrum Licensing — Research Memorandum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7742"/>
    <w:multiLevelType w:val="hybridMultilevel"/>
    <w:tmpl w:val="E35E33CC"/>
    <w:lvl w:ilvl="0" w:tplc="86DAE946">
      <w:start w:val="1"/>
      <w:numFmt w:val="bullet"/>
      <w:lvlText w:val="●"/>
      <w:lvlJc w:val="left"/>
      <w:pPr>
        <w:ind w:left="720" w:hanging="360"/>
      </w:pPr>
    </w:lvl>
    <w:lvl w:ilvl="1" w:tplc="A9163E5E">
      <w:start w:val="1"/>
      <w:numFmt w:val="bullet"/>
      <w:lvlText w:val="○"/>
      <w:lvlJc w:val="left"/>
      <w:pPr>
        <w:ind w:left="1440" w:hanging="360"/>
      </w:pPr>
    </w:lvl>
    <w:lvl w:ilvl="2" w:tplc="050C0384">
      <w:start w:val="1"/>
      <w:numFmt w:val="bullet"/>
      <w:lvlText w:val="■"/>
      <w:lvlJc w:val="left"/>
      <w:pPr>
        <w:ind w:left="2160" w:hanging="360"/>
      </w:pPr>
    </w:lvl>
    <w:lvl w:ilvl="3" w:tplc="60A2C1DE">
      <w:start w:val="1"/>
      <w:numFmt w:val="bullet"/>
      <w:lvlText w:val="●"/>
      <w:lvlJc w:val="left"/>
      <w:pPr>
        <w:ind w:left="2880" w:hanging="360"/>
      </w:pPr>
    </w:lvl>
    <w:lvl w:ilvl="4" w:tplc="D37E47A0">
      <w:start w:val="1"/>
      <w:numFmt w:val="bullet"/>
      <w:lvlText w:val="○"/>
      <w:lvlJc w:val="left"/>
      <w:pPr>
        <w:ind w:left="3600" w:hanging="360"/>
      </w:pPr>
    </w:lvl>
    <w:lvl w:ilvl="5" w:tplc="4FA4B782">
      <w:start w:val="1"/>
      <w:numFmt w:val="bullet"/>
      <w:lvlText w:val="■"/>
      <w:lvlJc w:val="left"/>
      <w:pPr>
        <w:ind w:left="4320" w:hanging="360"/>
      </w:pPr>
    </w:lvl>
    <w:lvl w:ilvl="6" w:tplc="72244BF4">
      <w:start w:val="1"/>
      <w:numFmt w:val="bullet"/>
      <w:lvlText w:val="●"/>
      <w:lvlJc w:val="left"/>
      <w:pPr>
        <w:ind w:left="5040" w:hanging="360"/>
      </w:pPr>
    </w:lvl>
    <w:lvl w:ilvl="7" w:tplc="67ACB3C8">
      <w:start w:val="1"/>
      <w:numFmt w:val="bullet"/>
      <w:lvlText w:val="●"/>
      <w:lvlJc w:val="left"/>
      <w:pPr>
        <w:ind w:left="5760" w:hanging="360"/>
      </w:pPr>
    </w:lvl>
    <w:lvl w:ilvl="8" w:tplc="861C79D8">
      <w:start w:val="1"/>
      <w:numFmt w:val="bullet"/>
      <w:lvlText w:val="●"/>
      <w:lvlJc w:val="left"/>
      <w:pPr>
        <w:ind w:left="6480" w:hanging="360"/>
      </w:pPr>
    </w:lvl>
  </w:abstractNum>
  <w:abstractNum w:abstractNumId="1" w15:restartNumberingAfterBreak="0">
    <w:nsid w:val="52926BDD"/>
    <w:multiLevelType w:val="hybridMultilevel"/>
    <w:tmpl w:val="A664D158"/>
    <w:lvl w:ilvl="0" w:tplc="CF66333A">
      <w:start w:val="1"/>
      <w:numFmt w:val="bullet"/>
      <w:lvlText w:val="•"/>
      <w:lvlJc w:val="left"/>
      <w:pPr>
        <w:ind w:left="720" w:hanging="360"/>
      </w:pPr>
    </w:lvl>
    <w:lvl w:ilvl="1" w:tplc="AEFC6820">
      <w:numFmt w:val="decimal"/>
      <w:lvlText w:val=""/>
      <w:lvlJc w:val="left"/>
    </w:lvl>
    <w:lvl w:ilvl="2" w:tplc="0BB8E740">
      <w:numFmt w:val="decimal"/>
      <w:lvlText w:val=""/>
      <w:lvlJc w:val="left"/>
    </w:lvl>
    <w:lvl w:ilvl="3" w:tplc="2F58CF34">
      <w:numFmt w:val="decimal"/>
      <w:lvlText w:val=""/>
      <w:lvlJc w:val="left"/>
    </w:lvl>
    <w:lvl w:ilvl="4" w:tplc="7A3A80DC">
      <w:numFmt w:val="decimal"/>
      <w:lvlText w:val=""/>
      <w:lvlJc w:val="left"/>
    </w:lvl>
    <w:lvl w:ilvl="5" w:tplc="F528849E">
      <w:numFmt w:val="decimal"/>
      <w:lvlText w:val=""/>
      <w:lvlJc w:val="left"/>
    </w:lvl>
    <w:lvl w:ilvl="6" w:tplc="26085FF6">
      <w:numFmt w:val="decimal"/>
      <w:lvlText w:val=""/>
      <w:lvlJc w:val="left"/>
    </w:lvl>
    <w:lvl w:ilvl="7" w:tplc="E2269132">
      <w:numFmt w:val="decimal"/>
      <w:lvlText w:val=""/>
      <w:lvlJc w:val="left"/>
    </w:lvl>
    <w:lvl w:ilvl="8" w:tplc="CE6A3F58">
      <w:numFmt w:val="decimal"/>
      <w:lvlText w:val=""/>
      <w:lvlJc w:val="left"/>
    </w:lvl>
  </w:abstractNum>
  <w:abstractNum w:abstractNumId="2" w15:restartNumberingAfterBreak="0">
    <w:nsid w:val="52AC5E6E"/>
    <w:multiLevelType w:val="hybridMultilevel"/>
    <w:tmpl w:val="B43269AC"/>
    <w:lvl w:ilvl="0" w:tplc="8CA298E6">
      <w:start w:val="1"/>
      <w:numFmt w:val="decimal"/>
      <w:lvlText w:val="%1."/>
      <w:lvlJc w:val="left"/>
      <w:pPr>
        <w:ind w:left="720" w:hanging="360"/>
      </w:pPr>
    </w:lvl>
    <w:lvl w:ilvl="1" w:tplc="1C3EC87C">
      <w:numFmt w:val="decimal"/>
      <w:lvlText w:val=""/>
      <w:lvlJc w:val="left"/>
    </w:lvl>
    <w:lvl w:ilvl="2" w:tplc="D95074BC">
      <w:numFmt w:val="decimal"/>
      <w:lvlText w:val=""/>
      <w:lvlJc w:val="left"/>
    </w:lvl>
    <w:lvl w:ilvl="3" w:tplc="CFA22788">
      <w:numFmt w:val="decimal"/>
      <w:lvlText w:val=""/>
      <w:lvlJc w:val="left"/>
    </w:lvl>
    <w:lvl w:ilvl="4" w:tplc="F7A62E16">
      <w:numFmt w:val="decimal"/>
      <w:lvlText w:val=""/>
      <w:lvlJc w:val="left"/>
    </w:lvl>
    <w:lvl w:ilvl="5" w:tplc="4FB44074">
      <w:numFmt w:val="decimal"/>
      <w:lvlText w:val=""/>
      <w:lvlJc w:val="left"/>
    </w:lvl>
    <w:lvl w:ilvl="6" w:tplc="2820A80A">
      <w:numFmt w:val="decimal"/>
      <w:lvlText w:val=""/>
      <w:lvlJc w:val="left"/>
    </w:lvl>
    <w:lvl w:ilvl="7" w:tplc="01289A04">
      <w:numFmt w:val="decimal"/>
      <w:lvlText w:val=""/>
      <w:lvlJc w:val="left"/>
    </w:lvl>
    <w:lvl w:ilvl="8" w:tplc="14C4F5EA">
      <w:numFmt w:val="decimal"/>
      <w:lvlText w:val=""/>
      <w:lvlJc w:val="left"/>
    </w:lvl>
  </w:abstractNum>
  <w:abstractNum w:abstractNumId="3" w15:restartNumberingAfterBreak="0">
    <w:nsid w:val="7C104373"/>
    <w:multiLevelType w:val="hybridMultilevel"/>
    <w:tmpl w:val="B0460572"/>
    <w:lvl w:ilvl="0" w:tplc="4EC2D4E8">
      <w:start w:val="1"/>
      <w:numFmt w:val="bullet"/>
      <w:lvlText w:val="•"/>
      <w:lvlJc w:val="left"/>
      <w:pPr>
        <w:ind w:left="1080" w:hanging="360"/>
      </w:pPr>
    </w:lvl>
    <w:lvl w:ilvl="1" w:tplc="85C43002">
      <w:numFmt w:val="decimal"/>
      <w:lvlText w:val=""/>
      <w:lvlJc w:val="left"/>
    </w:lvl>
    <w:lvl w:ilvl="2" w:tplc="30BC19C6">
      <w:numFmt w:val="decimal"/>
      <w:lvlText w:val=""/>
      <w:lvlJc w:val="left"/>
    </w:lvl>
    <w:lvl w:ilvl="3" w:tplc="24B46194">
      <w:numFmt w:val="decimal"/>
      <w:lvlText w:val=""/>
      <w:lvlJc w:val="left"/>
    </w:lvl>
    <w:lvl w:ilvl="4" w:tplc="E552251C">
      <w:numFmt w:val="decimal"/>
      <w:lvlText w:val=""/>
      <w:lvlJc w:val="left"/>
    </w:lvl>
    <w:lvl w:ilvl="5" w:tplc="0F2A1A4C">
      <w:numFmt w:val="decimal"/>
      <w:lvlText w:val=""/>
      <w:lvlJc w:val="left"/>
    </w:lvl>
    <w:lvl w:ilvl="6" w:tplc="261439F2">
      <w:numFmt w:val="decimal"/>
      <w:lvlText w:val=""/>
      <w:lvlJc w:val="left"/>
    </w:lvl>
    <w:lvl w:ilvl="7" w:tplc="4DC4DA76">
      <w:numFmt w:val="decimal"/>
      <w:lvlText w:val=""/>
      <w:lvlJc w:val="left"/>
    </w:lvl>
    <w:lvl w:ilvl="8" w:tplc="80FE079E">
      <w:numFmt w:val="decimal"/>
      <w:lvlText w:val=""/>
      <w:lvlJc w:val="left"/>
    </w:lvl>
  </w:abstractNum>
  <w:num w:numId="1" w16cid:durableId="360278730">
    <w:abstractNumId w:val="0"/>
    <w:lvlOverride w:ilvl="0">
      <w:startOverride w:val="1"/>
    </w:lvlOverride>
  </w:num>
  <w:num w:numId="2" w16cid:durableId="21319743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DE"/>
    <w:rsid w:val="006A5F14"/>
    <w:rsid w:val="006C6BDE"/>
    <w:rsid w:val="009669B5"/>
    <w:rsid w:val="00DE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C306"/>
  <w15:docId w15:val="{6C976755-ECE5-4304-8E4A-5072698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3864"/>
      <w:sz w:val="32"/>
      <w:szCs w:val="32"/>
    </w:rPr>
  </w:style>
  <w:style w:type="paragraph" w:styleId="Heading2">
    <w:name w:val="heading 2"/>
    <w:uiPriority w:val="9"/>
    <w:unhideWhenUsed/>
    <w:qFormat/>
    <w:pPr>
      <w:spacing w:before="240" w:after="180"/>
      <w:outlineLvl w:val="1"/>
    </w:pPr>
    <w:rPr>
      <w:b/>
      <w:bCs/>
      <w:color w:val="2E75B6"/>
      <w:sz w:val="28"/>
      <w:szCs w:val="28"/>
    </w:rPr>
  </w:style>
  <w:style w:type="paragraph" w:styleId="Heading3">
    <w:name w:val="heading 3"/>
    <w:uiPriority w:val="9"/>
    <w:unhideWhenUsed/>
    <w:qFormat/>
    <w:pPr>
      <w:spacing w:before="200" w:after="120"/>
      <w:outlineLvl w:val="2"/>
    </w:pPr>
    <w:rPr>
      <w:b/>
      <w:bCs/>
      <w:i/>
      <w:i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6A5F14"/>
    <w:pPr>
      <w:spacing w:after="100"/>
    </w:pPr>
  </w:style>
  <w:style w:type="paragraph" w:styleId="TOC2">
    <w:name w:val="toc 2"/>
    <w:basedOn w:val="Normal"/>
    <w:next w:val="Normal"/>
    <w:autoRedefine/>
    <w:uiPriority w:val="39"/>
    <w:unhideWhenUsed/>
    <w:rsid w:val="006A5F14"/>
    <w:pPr>
      <w:spacing w:after="100"/>
      <w:ind w:left="240"/>
    </w:pPr>
  </w:style>
  <w:style w:type="paragraph" w:styleId="TOC3">
    <w:name w:val="toc 3"/>
    <w:basedOn w:val="Normal"/>
    <w:next w:val="Normal"/>
    <w:autoRedefine/>
    <w:uiPriority w:val="39"/>
    <w:unhideWhenUsed/>
    <w:rsid w:val="006A5F1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5193</Words>
  <Characters>29602</Characters>
  <Application>Microsoft Office Word</Application>
  <DocSecurity>0</DocSecurity>
  <Lines>246</Lines>
  <Paragraphs>69</Paragraphs>
  <ScaleCrop>false</ScaleCrop>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Brandon Moss</cp:lastModifiedBy>
  <cp:revision>1</cp:revision>
  <dcterms:created xsi:type="dcterms:W3CDTF">2026-06-03T11:03:00Z</dcterms:created>
  <dcterms:modified xsi:type="dcterms:W3CDTF">2026-06-03T11:44:00Z</dcterms:modified>
</cp:coreProperties>
</file>