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Comment</w:t>
      </w:r>
      <w:r>
        <w:t xml:space="preserve"> </w:t>
      </w:r>
      <w:r>
        <w:t xml:space="preserve">Summary:</w:t>
      </w:r>
      <w:r>
        <w:t xml:space="preserve"> </w:t>
      </w:r>
      <w:r>
        <w:t xml:space="preserve">Second</w:t>
      </w:r>
      <w:r>
        <w:t xml:space="preserve"> </w:t>
      </w:r>
      <w:r>
        <w:t xml:space="preserve">Further</w:t>
      </w:r>
      <w:r>
        <w:t xml:space="preserve"> </w:t>
      </w:r>
      <w:r>
        <w:t xml:space="preserve">Notice</w:t>
      </w:r>
      <w:r>
        <w:t xml:space="preserve"> </w:t>
      </w:r>
      <w:r>
        <w:t xml:space="preserve">of</w:t>
      </w:r>
      <w:r>
        <w:t xml:space="preserve"> </w:t>
      </w:r>
      <w:r>
        <w:t xml:space="preserve">Proposed</w:t>
      </w:r>
      <w:r>
        <w:t xml:space="preserve"> </w:t>
      </w:r>
      <w:r>
        <w:t xml:space="preserve">Rulemaking,</w:t>
      </w:r>
      <w:r>
        <w:t xml:space="preserve"> </w:t>
      </w:r>
      <w:r>
        <w:t xml:space="preserve">ET</w:t>
      </w:r>
      <w:r>
        <w:t xml:space="preserve"> </w:t>
      </w:r>
      <w:r>
        <w:t xml:space="preserve">Docket</w:t>
      </w:r>
      <w:r>
        <w:t xml:space="preserve"> </w:t>
      </w:r>
      <w:r>
        <w:t xml:space="preserve">No. 21-232</w:t>
      </w:r>
    </w:p>
    <w:p>
      <w:pPr>
        <w:pStyle w:val="Subtitle"/>
      </w:pPr>
      <w:r>
        <w:t xml:space="preserve">Protecting</w:t>
      </w:r>
      <w:r>
        <w:t xml:space="preserve"> </w:t>
      </w:r>
      <w:r>
        <w:t xml:space="preserve">Against</w:t>
      </w:r>
      <w:r>
        <w:t xml:space="preserve"> </w:t>
      </w:r>
      <w:r>
        <w:t xml:space="preserve">National</w:t>
      </w:r>
      <w:r>
        <w:t xml:space="preserve"> </w:t>
      </w:r>
      <w:r>
        <w:t xml:space="preserve">Security</w:t>
      </w:r>
      <w:r>
        <w:t xml:space="preserve"> </w:t>
      </w:r>
      <w:r>
        <w:t xml:space="preserve">Threats</w:t>
      </w:r>
      <w:r>
        <w:t xml:space="preserve"> </w:t>
      </w:r>
      <w:r>
        <w:t xml:space="preserve">to</w:t>
      </w:r>
      <w:r>
        <w:t xml:space="preserve"> </w:t>
      </w:r>
      <w:r>
        <w:t xml:space="preserve">the</w:t>
      </w:r>
      <w:r>
        <w:t xml:space="preserve"> </w:t>
      </w:r>
      <w:r>
        <w:t xml:space="preserve">Communications</w:t>
      </w:r>
      <w:r>
        <w:t xml:space="preserve"> </w:t>
      </w:r>
      <w:r>
        <w:t xml:space="preserve">Supply</w:t>
      </w:r>
      <w:r>
        <w:t xml:space="preserve"> </w:t>
      </w:r>
      <w:r>
        <w:t xml:space="preserve">Chain</w:t>
      </w:r>
      <w:r>
        <w:t xml:space="preserve"> </w:t>
      </w:r>
      <w:r>
        <w:t xml:space="preserve">Through</w:t>
      </w:r>
      <w:r>
        <w:t xml:space="preserve"> </w:t>
      </w:r>
      <w:r>
        <w:t xml:space="preserve">the</w:t>
      </w:r>
      <w:r>
        <w:t xml:space="preserve"> </w:t>
      </w:r>
      <w:r>
        <w:t xml:space="preserve">Equipment</w:t>
      </w:r>
      <w:r>
        <w:t xml:space="preserve"> </w:t>
      </w:r>
      <w:r>
        <w:t xml:space="preserve">Authorization</w:t>
      </w:r>
      <w:r>
        <w:t xml:space="preserve"> </w:t>
      </w:r>
      <w:r>
        <w:t xml:space="preserve">Program</w:t>
      </w:r>
    </w:p>
    <w:p>
      <w:pPr>
        <w:pStyle w:val="Date"/>
      </w:pPr>
      <w:r>
        <w:t xml:space="preserve">March</w:t>
      </w:r>
      <w:r>
        <w:t xml:space="preserve"> </w:t>
      </w:r>
      <w:r>
        <w:t xml:space="preserve">21,</w:t>
      </w:r>
      <w:r>
        <w:t xml:space="preserve"> </w:t>
      </w:r>
      <w:r>
        <w:t xml:space="preserve">2026</w:t>
      </w:r>
    </w:p>
    <w:p>
      <w:pPr>
        <w:pStyle w:val="Heading1"/>
      </w:pPr>
      <w:bookmarkStart w:id="20" w:name="comment-summary"/>
      <w:r>
        <w:t xml:space="preserve">COMMENT SUMMARY</w:t>
      </w:r>
      <w:bookmarkEnd w:id="20"/>
    </w:p>
    <w:p>
      <w:pPr>
        <w:pStyle w:val="Heading2"/>
      </w:pPr>
      <w:bookmarkStart w:id="21" w:name="X87f6089aafdec59e2937a6401b0d07c4ca4b9db"/>
      <w:r>
        <w:t xml:space="preserve">Second Further Notice of Proposed Rulemaking</w:t>
      </w:r>
      <w:bookmarkEnd w:id="21"/>
    </w:p>
    <w:p>
      <w:pPr>
        <w:pStyle w:val="Heading2"/>
      </w:pPr>
      <w:bookmarkStart w:id="22" w:name="et-docket-no.-21-232"/>
      <w:r>
        <w:t xml:space="preserve">ET Docket No. 21-232</w:t>
      </w:r>
      <w:bookmarkEnd w:id="22"/>
    </w:p>
    <w:p>
      <w:pPr>
        <w:pStyle w:val="Heading2"/>
      </w:pPr>
      <w:bookmarkStart w:id="23" w:name="fcc-25-71"/>
      <w:r>
        <w:t xml:space="preserve">FCC 25-71</w:t>
      </w:r>
      <w:bookmarkEnd w:id="23"/>
    </w:p>
    <w:p>
      <w:pPr>
        <w:pStyle w:val="Heading3"/>
      </w:pPr>
      <w:bookmarkStart w:id="24" w:name="X43e4a640d0ea34a3c368eda5a82197be26967f4"/>
      <w:r>
        <w:t xml:space="preserve">Protecting Against National Security Threats to the Communications Supply Chain Through the Equipment Authorization Program</w:t>
      </w:r>
      <w:bookmarkEnd w:id="24"/>
    </w:p>
    <w:p>
      <w:r>
        <w:pict>
          <v:rect style="width:0;height:1.5pt" o:hralign="center" o:hrstd="t" o:hr="t"/>
        </w:pict>
      </w:r>
    </w:p>
    <w:p>
      <w:pPr>
        <w:pStyle w:val="FirstParagraph"/>
      </w:pPr>
      <w:r>
        <w:rPr>
          <w:b/>
        </w:rPr>
        <w:t xml:space="preserve">Prepared for the Federal Communications Commission</w:t>
      </w:r>
    </w:p>
    <w:p>
      <w:pPr>
        <w:pStyle w:val="BodyText"/>
      </w:pPr>
      <w:r>
        <w:rPr>
          <w:b/>
        </w:rPr>
        <w:t xml:space="preserve">Date: March 21, 2026</w:t>
      </w:r>
    </w:p>
    <w:p>
      <w:r>
        <w:pict>
          <v:rect style="width:0;height:1.5pt" o:hralign="center" o:hrstd="t" o:hr="t"/>
        </w:pict>
      </w:r>
    </w:p>
    <w:p>
      <w:pPr>
        <w:pStyle w:val="Heading2"/>
      </w:pPr>
      <w:bookmarkStart w:id="25" w:name="table-of-commenters"/>
      <w:r>
        <w:t xml:space="preserve">TABLE OF COMMENTERS</w:t>
      </w:r>
      <w:bookmarkEnd w:id="25"/>
    </w:p>
    <w:p>
      <w:pPr>
        <w:pStyle w:val="Heading3"/>
      </w:pPr>
      <w:bookmarkStart w:id="26" w:name="initial-comments"/>
      <w:r>
        <w:t xml:space="preserve">Initial Comments</w:t>
      </w:r>
      <w:bookmarkEnd w:id="26"/>
    </w:p>
    <w:tbl>
      <w:tblPr>
        <w:tblStyle w:val="Table"/>
        <w:tblW w:type="pct" w:w="5000.0"/>
        <w:tblLook w:firstRow="1"/>
      </w:tblPr>
      <w:tblGrid>
        <w:gridCol w:w="2420"/>
        <w:gridCol w:w="2860"/>
        <w:gridCol w:w="2640"/>
      </w:tblGrid>
      <w:tr>
        <w:trPr>
          <w:cnfStyle w:firstRow="1"/>
        </w:trPr>
        <w:tc>
          <w:tcPr>
            <w:tcBorders>
              <w:bottom w:val="single"/>
            </w:tcBorders>
            <w:vAlign w:val="bottom"/>
          </w:tcPr>
          <w:p>
            <w:pPr>
              <w:pStyle w:val="Compact"/>
              <w:jc w:val="left"/>
            </w:pPr>
            <w:r>
              <w:t xml:space="preserve">Commenter</w:t>
            </w:r>
          </w:p>
        </w:tc>
        <w:tc>
          <w:tcPr>
            <w:tcBorders>
              <w:bottom w:val="single"/>
            </w:tcBorders>
            <w:vAlign w:val="bottom"/>
          </w:tcPr>
          <w:p>
            <w:pPr>
              <w:pStyle w:val="Compact"/>
              <w:jc w:val="left"/>
            </w:pPr>
            <w:r>
              <w:t xml:space="preserve">Abbreviation</w:t>
            </w:r>
          </w:p>
        </w:tc>
        <w:tc>
          <w:tcPr>
            <w:tcBorders>
              <w:bottom w:val="single"/>
            </w:tcBorders>
            <w:vAlign w:val="bottom"/>
          </w:tcPr>
          <w:p>
            <w:pPr>
              <w:pStyle w:val="Compact"/>
              <w:jc w:val="left"/>
            </w:pPr>
            <w:r>
              <w:t xml:space="preserve">Date Filed</w:t>
            </w:r>
          </w:p>
        </w:tc>
      </w:tr>
      <w:tr>
        <w:tc>
          <w:p>
            <w:pPr>
              <w:pStyle w:val="Compact"/>
              <w:jc w:val="left"/>
            </w:pPr>
            <w:r>
              <w:t xml:space="preserve">Foundation for Defense of Democracies</w:t>
            </w:r>
          </w:p>
        </w:tc>
        <w:tc>
          <w:p>
            <w:pPr>
              <w:pStyle w:val="Compact"/>
              <w:jc w:val="left"/>
            </w:pPr>
            <w:r>
              <w:t xml:space="preserve">FDD</w:t>
            </w:r>
          </w:p>
        </w:tc>
        <w:tc>
          <w:p>
            <w:pPr>
              <w:pStyle w:val="Compact"/>
              <w:jc w:val="left"/>
            </w:pPr>
            <w:r>
              <w:t xml:space="preserve">Dec. 22, 2025</w:t>
            </w:r>
          </w:p>
        </w:tc>
      </w:tr>
      <w:tr>
        <w:tc>
          <w:p>
            <w:pPr>
              <w:pStyle w:val="Compact"/>
              <w:jc w:val="left"/>
            </w:pPr>
            <w:r>
              <w:t xml:space="preserve">Consumer Technology Association &amp; Telecommunications Industry Association (Joint Petition)</w:t>
            </w:r>
          </w:p>
        </w:tc>
        <w:tc>
          <w:p>
            <w:pPr>
              <w:pStyle w:val="Compact"/>
              <w:jc w:val="left"/>
            </w:pPr>
            <w:r>
              <w:t xml:space="preserve">CTA-TIA Petition</w:t>
            </w:r>
          </w:p>
        </w:tc>
        <w:tc>
          <w:p>
            <w:pPr>
              <w:pStyle w:val="Compact"/>
              <w:jc w:val="left"/>
            </w:pPr>
            <w:r>
              <w:t xml:space="preserve">Dec. 22, 2025</w:t>
            </w:r>
          </w:p>
        </w:tc>
      </w:tr>
      <w:tr>
        <w:tc>
          <w:p>
            <w:pPr>
              <w:pStyle w:val="Compact"/>
              <w:jc w:val="left"/>
            </w:pPr>
            <w:r>
              <w:t xml:space="preserve">Sony Group Corporation</w:t>
            </w:r>
          </w:p>
        </w:tc>
        <w:tc>
          <w:p>
            <w:pPr>
              <w:pStyle w:val="Compact"/>
              <w:jc w:val="left"/>
            </w:pPr>
            <w:r>
              <w:t xml:space="preserve">Sony</w:t>
            </w:r>
          </w:p>
        </w:tc>
        <w:tc>
          <w:p>
            <w:pPr>
              <w:pStyle w:val="Compact"/>
              <w:jc w:val="left"/>
            </w:pPr>
            <w:r>
              <w:t xml:space="preserve">Dec. 29, 2025</w:t>
            </w:r>
          </w:p>
        </w:tc>
      </w:tr>
      <w:tr>
        <w:tc>
          <w:p>
            <w:pPr>
              <w:pStyle w:val="Compact"/>
              <w:jc w:val="left"/>
            </w:pPr>
            <w:r>
              <w:t xml:space="preserve">CTIA</w:t>
            </w:r>
          </w:p>
        </w:tc>
        <w:tc>
          <w:p>
            <w:pPr>
              <w:pStyle w:val="Compact"/>
              <w:jc w:val="left"/>
            </w:pPr>
            <w:r>
              <w:t xml:space="preserve">CTIA</w:t>
            </w:r>
          </w:p>
        </w:tc>
        <w:tc>
          <w:p>
            <w:pPr>
              <w:pStyle w:val="Compact"/>
              <w:jc w:val="left"/>
            </w:pPr>
            <w:r>
              <w:t xml:space="preserve">Jan. 5, 2026</w:t>
            </w:r>
          </w:p>
        </w:tc>
      </w:tr>
      <w:tr>
        <w:tc>
          <w:p>
            <w:pPr>
              <w:pStyle w:val="Compact"/>
              <w:jc w:val="left"/>
            </w:pPr>
            <w:r>
              <w:t xml:space="preserve">Consumer Technology Association</w:t>
            </w:r>
          </w:p>
        </w:tc>
        <w:tc>
          <w:p>
            <w:pPr>
              <w:pStyle w:val="Compact"/>
              <w:jc w:val="left"/>
            </w:pPr>
            <w:r>
              <w:t xml:space="preserve">CTA</w:t>
            </w:r>
          </w:p>
        </w:tc>
        <w:tc>
          <w:p>
            <w:pPr>
              <w:pStyle w:val="Compact"/>
              <w:jc w:val="left"/>
            </w:pPr>
            <w:r>
              <w:t xml:space="preserve">Jan. 5, 2026</w:t>
            </w:r>
          </w:p>
        </w:tc>
      </w:tr>
      <w:tr>
        <w:tc>
          <w:p>
            <w:pPr>
              <w:pStyle w:val="Compact"/>
              <w:jc w:val="left"/>
            </w:pPr>
            <w:r>
              <w:t xml:space="preserve">Garmin International, Inc.</w:t>
            </w:r>
          </w:p>
        </w:tc>
        <w:tc>
          <w:p>
            <w:pPr>
              <w:pStyle w:val="Compact"/>
              <w:jc w:val="left"/>
            </w:pPr>
            <w:r>
              <w:t xml:space="preserve">Garmin</w:t>
            </w:r>
          </w:p>
        </w:tc>
        <w:tc>
          <w:p>
            <w:pPr>
              <w:pStyle w:val="Compact"/>
              <w:jc w:val="left"/>
            </w:pPr>
            <w:r>
              <w:t xml:space="preserve">Jan. 5, 2026</w:t>
            </w:r>
          </w:p>
        </w:tc>
      </w:tr>
      <w:tr>
        <w:tc>
          <w:p>
            <w:pPr>
              <w:pStyle w:val="Compact"/>
              <w:jc w:val="left"/>
            </w:pPr>
            <w:r>
              <w:t xml:space="preserve">Hikvision USA, Inc.</w:t>
            </w:r>
          </w:p>
        </w:tc>
        <w:tc>
          <w:p>
            <w:pPr>
              <w:pStyle w:val="Compact"/>
              <w:jc w:val="left"/>
            </w:pPr>
            <w:r>
              <w:t xml:space="preserve">Hikvision</w:t>
            </w:r>
          </w:p>
        </w:tc>
        <w:tc>
          <w:p>
            <w:pPr>
              <w:pStyle w:val="Compact"/>
              <w:jc w:val="left"/>
            </w:pPr>
            <w:r>
              <w:t xml:space="preserve">Jan. 5, 2026</w:t>
            </w:r>
          </w:p>
        </w:tc>
      </w:tr>
      <w:tr>
        <w:tc>
          <w:p>
            <w:pPr>
              <w:pStyle w:val="Compact"/>
              <w:jc w:val="left"/>
            </w:pPr>
            <w:r>
              <w:t xml:space="preserve">Information Technology Industry Council</w:t>
            </w:r>
          </w:p>
        </w:tc>
        <w:tc>
          <w:p>
            <w:pPr>
              <w:pStyle w:val="Compact"/>
              <w:jc w:val="left"/>
            </w:pPr>
            <w:r>
              <w:t xml:space="preserve">ITI</w:t>
            </w:r>
          </w:p>
        </w:tc>
        <w:tc>
          <w:p>
            <w:pPr>
              <w:pStyle w:val="Compact"/>
              <w:jc w:val="left"/>
            </w:pPr>
            <w:r>
              <w:t xml:space="preserve">Jan. 5, 2026</w:t>
            </w:r>
          </w:p>
        </w:tc>
      </w:tr>
      <w:tr>
        <w:tc>
          <w:p>
            <w:pPr>
              <w:pStyle w:val="Compact"/>
              <w:jc w:val="left"/>
            </w:pPr>
            <w:r>
              <w:t xml:space="preserve">MEMA, The Vehicle Suppliers Association</w:t>
            </w:r>
          </w:p>
        </w:tc>
        <w:tc>
          <w:p>
            <w:pPr>
              <w:pStyle w:val="Compact"/>
              <w:jc w:val="left"/>
            </w:pPr>
            <w:r>
              <w:t xml:space="preserve">MEMA</w:t>
            </w:r>
          </w:p>
        </w:tc>
        <w:tc>
          <w:p>
            <w:pPr>
              <w:pStyle w:val="Compact"/>
              <w:jc w:val="left"/>
            </w:pPr>
            <w:r>
              <w:t xml:space="preserve">Jan. 5, 2026</w:t>
            </w:r>
          </w:p>
        </w:tc>
      </w:tr>
      <w:tr>
        <w:tc>
          <w:p>
            <w:pPr>
              <w:pStyle w:val="Compact"/>
              <w:jc w:val="left"/>
            </w:pPr>
            <w:r>
              <w:t xml:space="preserve">NTCA–The Rural Broadband Association</w:t>
            </w:r>
          </w:p>
        </w:tc>
        <w:tc>
          <w:p>
            <w:pPr>
              <w:pStyle w:val="Compact"/>
              <w:jc w:val="left"/>
            </w:pPr>
            <w:r>
              <w:t xml:space="preserve">NTCA</w:t>
            </w:r>
          </w:p>
        </w:tc>
        <w:tc>
          <w:p>
            <w:pPr>
              <w:pStyle w:val="Compact"/>
              <w:jc w:val="left"/>
            </w:pPr>
            <w:r>
              <w:t xml:space="preserve">Jan. 5, 2026</w:t>
            </w:r>
          </w:p>
        </w:tc>
      </w:tr>
      <w:tr>
        <w:tc>
          <w:p>
            <w:pPr>
              <w:pStyle w:val="Compact"/>
              <w:jc w:val="left"/>
            </w:pPr>
            <w:r>
              <w:t xml:space="preserve">SZ DJI Technology Co. Ltd.</w:t>
            </w:r>
          </w:p>
        </w:tc>
        <w:tc>
          <w:p>
            <w:pPr>
              <w:pStyle w:val="Compact"/>
              <w:jc w:val="left"/>
            </w:pPr>
            <w:r>
              <w:t xml:space="preserve">DJI</w:t>
            </w:r>
          </w:p>
        </w:tc>
        <w:tc>
          <w:p>
            <w:pPr>
              <w:pStyle w:val="Compact"/>
              <w:jc w:val="left"/>
            </w:pPr>
            <w:r>
              <w:t xml:space="preserve">Jan. 5, 2026</w:t>
            </w:r>
          </w:p>
        </w:tc>
      </w:tr>
      <w:tr>
        <w:tc>
          <w:p>
            <w:pPr>
              <w:pStyle w:val="Compact"/>
              <w:jc w:val="left"/>
            </w:pPr>
            <w:r>
              <w:t xml:space="preserve">Sirius XM Radio LLC</w:t>
            </w:r>
          </w:p>
        </w:tc>
        <w:tc>
          <w:p>
            <w:pPr>
              <w:pStyle w:val="Compact"/>
              <w:jc w:val="left"/>
            </w:pPr>
            <w:r>
              <w:t xml:space="preserve">Sirius XM</w:t>
            </w:r>
          </w:p>
        </w:tc>
        <w:tc>
          <w:p>
            <w:pPr>
              <w:pStyle w:val="Compact"/>
              <w:jc w:val="left"/>
            </w:pPr>
            <w:r>
              <w:t xml:space="preserve">Jan. 5, 2026</w:t>
            </w:r>
          </w:p>
        </w:tc>
      </w:tr>
      <w:tr>
        <w:tc>
          <w:p>
            <w:pPr>
              <w:pStyle w:val="Compact"/>
              <w:jc w:val="left"/>
            </w:pPr>
            <w:r>
              <w:t xml:space="preserve">Somos, Inc.</w:t>
            </w:r>
          </w:p>
        </w:tc>
        <w:tc>
          <w:p>
            <w:pPr>
              <w:pStyle w:val="Compact"/>
              <w:jc w:val="left"/>
            </w:pPr>
            <w:r>
              <w:t xml:space="preserve">Somos</w:t>
            </w:r>
          </w:p>
        </w:tc>
        <w:tc>
          <w:p>
            <w:pPr>
              <w:pStyle w:val="Compact"/>
              <w:jc w:val="left"/>
            </w:pPr>
            <w:r>
              <w:t xml:space="preserve">Jan. 5, 2026</w:t>
            </w:r>
          </w:p>
        </w:tc>
      </w:tr>
      <w:tr>
        <w:tc>
          <w:p>
            <w:pPr>
              <w:pStyle w:val="Compact"/>
              <w:jc w:val="left"/>
            </w:pPr>
            <w:r>
              <w:t xml:space="preserve">Telecommunications Industry Association</w:t>
            </w:r>
          </w:p>
        </w:tc>
        <w:tc>
          <w:p>
            <w:pPr>
              <w:pStyle w:val="Compact"/>
              <w:jc w:val="left"/>
            </w:pPr>
            <w:r>
              <w:t xml:space="preserve">TIA</w:t>
            </w:r>
          </w:p>
        </w:tc>
        <w:tc>
          <w:p>
            <w:pPr>
              <w:pStyle w:val="Compact"/>
              <w:jc w:val="left"/>
            </w:pPr>
            <w:r>
              <w:t xml:space="preserve">Jan. 5, 2026</w:t>
            </w:r>
          </w:p>
        </w:tc>
      </w:tr>
      <w:tr>
        <w:tc>
          <w:p>
            <w:pPr>
              <w:pStyle w:val="Compact"/>
              <w:jc w:val="left"/>
            </w:pPr>
            <w:r>
              <w:t xml:space="preserve">Telit Cinterion</w:t>
            </w:r>
          </w:p>
        </w:tc>
        <w:tc>
          <w:p>
            <w:pPr>
              <w:pStyle w:val="Compact"/>
              <w:jc w:val="left"/>
            </w:pPr>
            <w:r>
              <w:t xml:space="preserve">Telit Cinterion</w:t>
            </w:r>
          </w:p>
        </w:tc>
        <w:tc>
          <w:p>
            <w:pPr>
              <w:pStyle w:val="Compact"/>
              <w:jc w:val="left"/>
            </w:pPr>
            <w:r>
              <w:t xml:space="preserve">Jan. 5, 2026</w:t>
            </w:r>
          </w:p>
        </w:tc>
      </w:tr>
      <w:tr>
        <w:tc>
          <w:p>
            <w:pPr>
              <w:pStyle w:val="Compact"/>
              <w:jc w:val="left"/>
            </w:pPr>
            <w:r>
              <w:t xml:space="preserve">USTelecom–The Broadband Association</w:t>
            </w:r>
          </w:p>
        </w:tc>
        <w:tc>
          <w:p>
            <w:pPr>
              <w:pStyle w:val="Compact"/>
              <w:jc w:val="left"/>
            </w:pPr>
            <w:r>
              <w:t xml:space="preserve">USTelecom</w:t>
            </w:r>
          </w:p>
        </w:tc>
        <w:tc>
          <w:p>
            <w:pPr>
              <w:pStyle w:val="Compact"/>
              <w:jc w:val="left"/>
            </w:pPr>
            <w:r>
              <w:t xml:space="preserve">Jan. 5, 2026</w:t>
            </w:r>
          </w:p>
        </w:tc>
      </w:tr>
    </w:tbl>
    <w:p>
      <w:pPr>
        <w:pStyle w:val="Heading3"/>
      </w:pPr>
      <w:bookmarkStart w:id="27" w:name="reply-comments"/>
      <w:r>
        <w:t xml:space="preserve">Reply Comments</w:t>
      </w:r>
      <w:bookmarkEnd w:id="27"/>
    </w:p>
    <w:tbl>
      <w:tblPr>
        <w:tblStyle w:val="Table"/>
        <w:tblW w:type="pct" w:w="0.0"/>
        <w:tblLook w:firstRow="1"/>
      </w:tblPr>
      <w:tblGrid/>
      <w:tr>
        <w:trPr>
          <w:cnfStyle w:firstRow="1"/>
        </w:trPr>
        <w:tc>
          <w:tcPr>
            <w:tcBorders>
              <w:bottom w:val="single"/>
            </w:tcBorders>
            <w:vAlign w:val="bottom"/>
          </w:tcPr>
          <w:p>
            <w:pPr>
              <w:pStyle w:val="Compact"/>
              <w:jc w:val="left"/>
            </w:pPr>
            <w:r>
              <w:t xml:space="preserve">Commenter</w:t>
            </w:r>
          </w:p>
        </w:tc>
        <w:tc>
          <w:tcPr>
            <w:tcBorders>
              <w:bottom w:val="single"/>
            </w:tcBorders>
            <w:vAlign w:val="bottom"/>
          </w:tcPr>
          <w:p>
            <w:pPr>
              <w:pStyle w:val="Compact"/>
              <w:jc w:val="left"/>
            </w:pPr>
            <w:r>
              <w:t xml:space="preserve">Abbreviation</w:t>
            </w:r>
          </w:p>
        </w:tc>
        <w:tc>
          <w:tcPr>
            <w:tcBorders>
              <w:bottom w:val="single"/>
            </w:tcBorders>
            <w:vAlign w:val="bottom"/>
          </w:tcPr>
          <w:p>
            <w:pPr>
              <w:pStyle w:val="Compact"/>
              <w:jc w:val="left"/>
            </w:pPr>
            <w:r>
              <w:t xml:space="preserve">Date Filed</w:t>
            </w:r>
          </w:p>
        </w:tc>
      </w:tr>
      <w:tr>
        <w:tc>
          <w:p>
            <w:pPr>
              <w:pStyle w:val="Compact"/>
              <w:jc w:val="left"/>
            </w:pPr>
            <w:r>
              <w:t xml:space="preserve">CPAC Foundation Center for Regulatory Freedom</w:t>
            </w:r>
          </w:p>
        </w:tc>
        <w:tc>
          <w:p>
            <w:pPr>
              <w:pStyle w:val="Compact"/>
              <w:jc w:val="left"/>
            </w:pPr>
            <w:r>
              <w:t xml:space="preserve">CRF</w:t>
            </w:r>
          </w:p>
        </w:tc>
        <w:tc>
          <w:p>
            <w:pPr>
              <w:pStyle w:val="Compact"/>
              <w:jc w:val="left"/>
            </w:pPr>
            <w:r>
              <w:t xml:space="preserve">Feb. 2, 2026</w:t>
            </w:r>
          </w:p>
        </w:tc>
      </w:tr>
      <w:tr>
        <w:tc>
          <w:p>
            <w:pPr>
              <w:pStyle w:val="Compact"/>
              <w:jc w:val="left"/>
            </w:pPr>
            <w:r>
              <w:t xml:space="preserve">CTIA</w:t>
            </w:r>
          </w:p>
        </w:tc>
        <w:tc>
          <w:p>
            <w:pPr>
              <w:pStyle w:val="Compact"/>
              <w:jc w:val="left"/>
            </w:pPr>
            <w:r>
              <w:t xml:space="preserve">CTIA Reply</w:t>
            </w:r>
          </w:p>
        </w:tc>
        <w:tc>
          <w:p>
            <w:pPr>
              <w:pStyle w:val="Compact"/>
              <w:jc w:val="left"/>
            </w:pPr>
            <w:r>
              <w:t xml:space="preserve">Feb. 2, 2026</w:t>
            </w:r>
          </w:p>
        </w:tc>
      </w:tr>
      <w:tr>
        <w:tc>
          <w:p>
            <w:pPr>
              <w:pStyle w:val="Compact"/>
              <w:jc w:val="left"/>
            </w:pPr>
            <w:r>
              <w:t xml:space="preserve">Commercial Drone Alliance</w:t>
            </w:r>
          </w:p>
        </w:tc>
        <w:tc>
          <w:p>
            <w:pPr>
              <w:pStyle w:val="Compact"/>
              <w:jc w:val="left"/>
            </w:pPr>
            <w:r>
              <w:t xml:space="preserve">CDA</w:t>
            </w:r>
          </w:p>
        </w:tc>
        <w:tc>
          <w:p>
            <w:pPr>
              <w:pStyle w:val="Compact"/>
              <w:jc w:val="left"/>
            </w:pPr>
            <w:r>
              <w:t xml:space="preserve">Feb. 2, 2026</w:t>
            </w:r>
          </w:p>
        </w:tc>
      </w:tr>
      <w:tr>
        <w:tc>
          <w:p>
            <w:pPr>
              <w:pStyle w:val="Compact"/>
              <w:jc w:val="left"/>
            </w:pPr>
            <w:r>
              <w:t xml:space="preserve">Consumer Technology Association</w:t>
            </w:r>
          </w:p>
        </w:tc>
        <w:tc>
          <w:p>
            <w:pPr>
              <w:pStyle w:val="Compact"/>
              <w:jc w:val="left"/>
            </w:pPr>
            <w:r>
              <w:t xml:space="preserve">CTA Reply</w:t>
            </w:r>
          </w:p>
        </w:tc>
        <w:tc>
          <w:p>
            <w:pPr>
              <w:pStyle w:val="Compact"/>
              <w:jc w:val="left"/>
            </w:pPr>
            <w:r>
              <w:t xml:space="preserve">Feb. 2, 2026</w:t>
            </w:r>
          </w:p>
        </w:tc>
      </w:tr>
      <w:tr>
        <w:tc>
          <w:p>
            <w:pPr>
              <w:pStyle w:val="Compact"/>
              <w:jc w:val="left"/>
            </w:pPr>
            <w:r>
              <w:t xml:space="preserve">Hikvision USA, Inc.</w:t>
            </w:r>
          </w:p>
        </w:tc>
        <w:tc>
          <w:p>
            <w:pPr>
              <w:pStyle w:val="Compact"/>
              <w:jc w:val="left"/>
            </w:pPr>
            <w:r>
              <w:t xml:space="preserve">Hikvision Reply</w:t>
            </w:r>
          </w:p>
        </w:tc>
        <w:tc>
          <w:p>
            <w:pPr>
              <w:pStyle w:val="Compact"/>
              <w:jc w:val="left"/>
            </w:pPr>
            <w:r>
              <w:t xml:space="preserve">Feb. 2, 2026</w:t>
            </w:r>
          </w:p>
        </w:tc>
      </w:tr>
      <w:tr>
        <w:tc>
          <w:p>
            <w:pPr>
              <w:pStyle w:val="Compact"/>
              <w:jc w:val="left"/>
            </w:pPr>
            <w:r>
              <w:t xml:space="preserve">INCOMPAS</w:t>
            </w:r>
          </w:p>
        </w:tc>
        <w:tc>
          <w:p>
            <w:pPr>
              <w:pStyle w:val="Compact"/>
              <w:jc w:val="left"/>
            </w:pPr>
            <w:r>
              <w:t xml:space="preserve">INCOMPAS</w:t>
            </w:r>
          </w:p>
        </w:tc>
        <w:tc>
          <w:p>
            <w:pPr>
              <w:pStyle w:val="Compact"/>
              <w:jc w:val="left"/>
            </w:pPr>
            <w:r>
              <w:t xml:space="preserve">Feb. 2, 2026</w:t>
            </w:r>
          </w:p>
        </w:tc>
      </w:tr>
      <w:tr>
        <w:tc>
          <w:p>
            <w:pPr>
              <w:pStyle w:val="Compact"/>
              <w:jc w:val="left"/>
            </w:pPr>
            <w:r>
              <w:t xml:space="preserve">American Lighting Association</w:t>
            </w:r>
          </w:p>
        </w:tc>
        <w:tc>
          <w:p>
            <w:pPr>
              <w:pStyle w:val="Compact"/>
              <w:jc w:val="left"/>
            </w:pPr>
            <w:r>
              <w:t xml:space="preserve">ALA</w:t>
            </w:r>
          </w:p>
        </w:tc>
        <w:tc>
          <w:p>
            <w:pPr>
              <w:pStyle w:val="Compact"/>
              <w:jc w:val="left"/>
            </w:pPr>
            <w:r>
              <w:t xml:space="preserve">Feb. 2, 2026</w:t>
            </w:r>
          </w:p>
        </w:tc>
      </w:tr>
      <w:tr>
        <w:tc>
          <w:p>
            <w:pPr>
              <w:pStyle w:val="Compact"/>
              <w:jc w:val="left"/>
            </w:pPr>
            <w:r>
              <w:t xml:space="preserve">Motorola Solutions, Inc.</w:t>
            </w:r>
          </w:p>
        </w:tc>
        <w:tc>
          <w:p>
            <w:pPr>
              <w:pStyle w:val="Compact"/>
              <w:jc w:val="left"/>
            </w:pPr>
            <w:r>
              <w:t xml:space="preserve">MSI</w:t>
            </w:r>
          </w:p>
        </w:tc>
        <w:tc>
          <w:p>
            <w:pPr>
              <w:pStyle w:val="Compact"/>
              <w:jc w:val="left"/>
            </w:pPr>
            <w:r>
              <w:t xml:space="preserve">Feb. 2, 2026</w:t>
            </w:r>
          </w:p>
        </w:tc>
      </w:tr>
      <w:tr>
        <w:tc>
          <w:p>
            <w:pPr>
              <w:pStyle w:val="Compact"/>
              <w:jc w:val="left"/>
            </w:pPr>
            <w:r>
              <w:t xml:space="preserve">NCTA–The Internet &amp; Television Association</w:t>
            </w:r>
          </w:p>
        </w:tc>
        <w:tc>
          <w:p>
            <w:pPr>
              <w:pStyle w:val="Compact"/>
              <w:jc w:val="left"/>
            </w:pPr>
            <w:r>
              <w:t xml:space="preserve">NCTA</w:t>
            </w:r>
          </w:p>
        </w:tc>
        <w:tc>
          <w:p>
            <w:pPr>
              <w:pStyle w:val="Compact"/>
              <w:jc w:val="left"/>
            </w:pPr>
            <w:r>
              <w:t xml:space="preserve">Feb. 2, 2026</w:t>
            </w:r>
          </w:p>
        </w:tc>
      </w:tr>
      <w:tr>
        <w:tc>
          <w:p>
            <w:pPr>
              <w:pStyle w:val="Compact"/>
              <w:jc w:val="left"/>
            </w:pPr>
            <w:r>
              <w:t xml:space="preserve">Pyka, Inc.</w:t>
            </w:r>
          </w:p>
        </w:tc>
        <w:tc>
          <w:p>
            <w:pPr>
              <w:pStyle w:val="Compact"/>
              <w:jc w:val="left"/>
            </w:pPr>
            <w:r>
              <w:t xml:space="preserve">Pyka</w:t>
            </w:r>
          </w:p>
        </w:tc>
        <w:tc>
          <w:p>
            <w:pPr>
              <w:pStyle w:val="Compact"/>
              <w:jc w:val="left"/>
            </w:pPr>
            <w:r>
              <w:t xml:space="preserve">Feb. 2, 2026</w:t>
            </w:r>
          </w:p>
        </w:tc>
      </w:tr>
      <w:tr>
        <w:tc>
          <w:p>
            <w:pPr>
              <w:pStyle w:val="Compact"/>
              <w:jc w:val="left"/>
            </w:pPr>
            <w:r>
              <w:t xml:space="preserve">Telecommunications Industry Association</w:t>
            </w:r>
          </w:p>
        </w:tc>
        <w:tc>
          <w:p>
            <w:pPr>
              <w:pStyle w:val="Compact"/>
              <w:jc w:val="left"/>
            </w:pPr>
            <w:r>
              <w:t xml:space="preserve">TIA Reply</w:t>
            </w:r>
          </w:p>
        </w:tc>
        <w:tc>
          <w:p>
            <w:pPr>
              <w:pStyle w:val="Compact"/>
              <w:jc w:val="left"/>
            </w:pPr>
            <w:r>
              <w:t xml:space="preserve">Feb. 2, 2026</w:t>
            </w:r>
          </w:p>
        </w:tc>
      </w:tr>
      <w:tr>
        <w:tc>
          <w:p>
            <w:pPr>
              <w:pStyle w:val="Compact"/>
              <w:jc w:val="left"/>
            </w:pPr>
            <w:r>
              <w:t xml:space="preserve">USTelecom–The Broadband Association</w:t>
            </w:r>
          </w:p>
        </w:tc>
        <w:tc>
          <w:p>
            <w:pPr>
              <w:pStyle w:val="Compact"/>
              <w:jc w:val="left"/>
            </w:pPr>
            <w:r>
              <w:t xml:space="preserve">USTelecom Reply</w:t>
            </w:r>
          </w:p>
        </w:tc>
        <w:tc>
          <w:p>
            <w:pPr>
              <w:pStyle w:val="Compact"/>
              <w:jc w:val="left"/>
            </w:pPr>
            <w:r>
              <w:t xml:space="preserve">Feb. 2, 2026</w:t>
            </w:r>
          </w:p>
        </w:tc>
      </w:tr>
    </w:tbl>
    <w:p>
      <w:r>
        <w:pict>
          <v:rect style="width:0;height:1.5pt" o:hralign="center" o:hrstd="t" o:hr="t"/>
        </w:pict>
      </w:r>
    </w:p>
    <w:p>
      <w:pPr>
        <w:pStyle w:val="Heading2"/>
      </w:pPr>
      <w:bookmarkStart w:id="28" w:name="i.-modules-and-component-parts-5865"/>
      <w:r>
        <w:t xml:space="preserve">I. MODULES AND COMPONENT PARTS (¶¶ 58–65)</w:t>
      </w:r>
      <w:bookmarkEnd w:id="28"/>
    </w:p>
    <w:p>
      <w:pPr>
        <w:pStyle w:val="FirstParagraph"/>
      </w:pPr>
      <w:r>
        <w:t xml:space="preserve">In the Second FNPRM, the Commission seeks further comment on whether the prohibition on authorization of covered equipment should extend beyond modular transmitters to other types of component parts. The Commission asks what types of components could lead to a device posing the same unacceptable risk as covered equipment, how the Commission could identify such components with sufficient specificity, and what transition periods would be appropriate. The Commission also seeks comment on proposals to prohibit authorization of equipment containing modular transmitters produced by any person owned by, controlled by, or subject to the jurisdiction or direction of a foreign adversary, and on the Hudson Institute’s recommendation to prohibit authorization of all equipment containing a range of components produced by any such person.</w:t>
      </w:r>
    </w:p>
    <w:p>
      <w:pPr>
        <w:pStyle w:val="Heading3"/>
      </w:pPr>
      <w:bookmarkStart w:id="29" w:name="X328f0c1b3502e283d37b3619b498f677cd95554"/>
      <w:r>
        <w:t xml:space="preserve">A. Whether to Extend Prohibitions to Component Parts Beyond Modular Transmitters</w:t>
      </w:r>
      <w:bookmarkEnd w:id="29"/>
    </w:p>
    <w:p>
      <w:pPr>
        <w:pStyle w:val="FirstParagraph"/>
      </w:pPr>
      <w:r>
        <w:t xml:space="preserve">The record is deeply divided on this question, with the overwhelming weight of industry commenters opposing broad expansion and a smaller number of national-security-focused commenters supporting it.</w:t>
      </w:r>
    </w:p>
    <w:p>
      <w:pPr>
        <w:pStyle w:val="Heading4"/>
      </w:pPr>
      <w:bookmarkStart w:id="30" w:name="X8192a66740d0ba93f1628895f4775a97e86d5ad"/>
      <w:r>
        <w:t xml:space="preserve">1. Opposition to Broad Component-Level Expansion</w:t>
      </w:r>
      <w:bookmarkEnd w:id="30"/>
    </w:p>
    <w:p>
      <w:pPr>
        <w:pStyle w:val="FirstParagraph"/>
      </w:pPr>
      <w:r>
        <w:t xml:space="preserve">A substantial majority of commenters oppose extending covered equipment prohibitions to component parts beyond modular transmitters, or at minimum urge extreme caution and narrowly tailored rules.</w:t>
      </w:r>
    </w:p>
    <w:p>
      <w:pPr>
        <w:pStyle w:val="BodyText"/>
      </w:pPr>
      <w:r>
        <w:rPr>
          <w:b/>
        </w:rPr>
        <w:t xml:space="preserve">CTIA</w:t>
      </w:r>
      <w:r>
        <w:t xml:space="preserve"> </w:t>
      </w:r>
      <w:r>
        <w:t xml:space="preserve">urges the Commission to</w:t>
      </w:r>
      <w:r>
        <w:t xml:space="preserve"> </w:t>
      </w:r>
      <w:r>
        <w:t xml:space="preserve">“</w:t>
      </w:r>
      <w:r>
        <w:t xml:space="preserve">approach expansion cautiously, focused on components with appropriate nexus to provision of relevant services.</w:t>
      </w:r>
      <w:r>
        <w:t xml:space="preserve">”</w:t>
      </w:r>
      <w:r>
        <w:t xml:space="preserve"> </w:t>
      </w:r>
      <w:r>
        <w:t xml:space="preserve">CTIA Comments at 13. CTIA recommends that any expansion</w:t>
      </w:r>
      <w:r>
        <w:t xml:space="preserve"> </w:t>
      </w:r>
      <w:r>
        <w:t xml:space="preserve">“</w:t>
      </w:r>
      <w:r>
        <w:t xml:space="preserve">be consistent with Section 889 of the National Defense Authorization Act for Fiscal Year 2019, which focuses on equipment that can</w:t>
      </w:r>
      <w:r>
        <w:t xml:space="preserve"> </w:t>
      </w:r>
      <w:r>
        <w:t xml:space="preserve">‘</w:t>
      </w:r>
      <w:r>
        <w:t xml:space="preserve">route or redirect user data traffic or permit visibility into any user data or packets.</w:t>
      </w:r>
      <w:r>
        <w:t xml:space="preserve">’</w:t>
      </w:r>
      <w:r>
        <w:t xml:space="preserve">”</w:t>
      </w:r>
      <w:r>
        <w:t xml:space="preserve"> </w:t>
      </w:r>
      <w:r>
        <w:t xml:space="preserve">CTIA Comments at 16. CTIA cautions that</w:t>
      </w:r>
      <w:r>
        <w:t xml:space="preserve"> </w:t>
      </w:r>
      <w:r>
        <w:t xml:space="preserve">“</w:t>
      </w:r>
      <w:r>
        <w:t xml:space="preserve">various undesirable second-order effects from broad/quick expansion</w:t>
      </w:r>
      <w:r>
        <w:t xml:space="preserve">”</w:t>
      </w:r>
      <w:r>
        <w:t xml:space="preserve"> </w:t>
      </w:r>
      <w:r>
        <w:t xml:space="preserve">would arise, including</w:t>
      </w:r>
      <w:r>
        <w:t xml:space="preserve"> </w:t>
      </w:r>
      <w:r>
        <w:t xml:space="preserve">“</w:t>
      </w:r>
      <w:r>
        <w:t xml:space="preserve">difficult assessment of component origin, supply chain disruptions, adverse effects on competition/innovation,</w:t>
      </w:r>
      <w:r>
        <w:t xml:space="preserve">”</w:t>
      </w:r>
      <w:r>
        <w:t xml:space="preserve"> </w:t>
      </w:r>
      <w:r>
        <w:t xml:space="preserve">and the need to</w:t>
      </w:r>
      <w:r>
        <w:t xml:space="preserve"> </w:t>
      </w:r>
      <w:r>
        <w:t xml:space="preserve">“</w:t>
      </w:r>
      <w:r>
        <w:t xml:space="preserve">restructur[e] [the] equipment authorization program.</w:t>
      </w:r>
      <w:r>
        <w:t xml:space="preserve">”</w:t>
      </w:r>
      <w:r>
        <w:t xml:space="preserve"> </w:t>
      </w:r>
      <w:r>
        <w:t xml:space="preserve">CTIA Comments at 16. CTIA specifically warns that many categories mentioned in the FNPRM—such as</w:t>
      </w:r>
      <w:r>
        <w:t xml:space="preserve"> </w:t>
      </w:r>
      <w:r>
        <w:t xml:space="preserve">“</w:t>
      </w:r>
      <w:r>
        <w:t xml:space="preserve">semiconductors, logic-bearing hardware/firmware/software</w:t>
      </w:r>
      <w:r>
        <w:t xml:space="preserve">”</w:t>
      </w:r>
      <w:r>
        <w:t xml:space="preserve">—</w:t>
      </w:r>
      <w:r>
        <w:t xml:space="preserve">“</w:t>
      </w:r>
      <w:r>
        <w:t xml:space="preserve">are too broad</w:t>
      </w:r>
      <w:r>
        <w:t xml:space="preserve">”</w:t>
      </w:r>
      <w:r>
        <w:t xml:space="preserve"> </w:t>
      </w:r>
      <w:r>
        <w:t xml:space="preserve">because they</w:t>
      </w:r>
      <w:r>
        <w:t xml:space="preserve"> </w:t>
      </w:r>
      <w:r>
        <w:t xml:space="preserve">“</w:t>
      </w:r>
      <w:r>
        <w:t xml:space="preserve">can perform various functions unrelated to user data routing.</w:t>
      </w:r>
      <w:r>
        <w:t xml:space="preserve">”</w:t>
      </w:r>
      <w:r>
        <w:t xml:space="preserve"> </w:t>
      </w:r>
      <w:r>
        <w:t xml:space="preserve">CTIA Comments at 13.</w:t>
      </w:r>
    </w:p>
    <w:p>
      <w:pPr>
        <w:pStyle w:val="BodyText"/>
      </w:pPr>
      <w:r>
        <w:rPr>
          <w:b/>
        </w:rPr>
        <w:t xml:space="preserve">CTA</w:t>
      </w:r>
      <w:r>
        <w:t xml:space="preserve"> </w:t>
      </w:r>
      <w:r>
        <w:t xml:space="preserve">similarly advocates for</w:t>
      </w:r>
      <w:r>
        <w:t xml:space="preserve"> </w:t>
      </w:r>
      <w:r>
        <w:t xml:space="preserve">“</w:t>
      </w:r>
      <w:r>
        <w:t xml:space="preserve">a targeted, risk-based and functionality-focused approach</w:t>
      </w:r>
      <w:r>
        <w:t xml:space="preserve">”</w:t>
      </w:r>
      <w:r>
        <w:t xml:space="preserve"> </w:t>
      </w:r>
      <w:r>
        <w:t xml:space="preserve">to any component restrictions. CTA Comments at 6. CTA argues the Commission should consider whether a component</w:t>
      </w:r>
      <w:r>
        <w:t xml:space="preserve"> </w:t>
      </w:r>
      <w:r>
        <w:t xml:space="preserve">“</w:t>
      </w:r>
      <w:r>
        <w:t xml:space="preserve">access[es] user information or interact[s] with radio frequency (RF) functions</w:t>
      </w:r>
      <w:r>
        <w:t xml:space="preserve">”</w:t>
      </w:r>
      <w:r>
        <w:t xml:space="preserve"> </w:t>
      </w:r>
      <w:r>
        <w:t xml:space="preserve">before subjecting it to prohibitions. CTA Comments at 6. CTA further contends that any prohibitions must</w:t>
      </w:r>
      <w:r>
        <w:t xml:space="preserve"> </w:t>
      </w:r>
      <w:r>
        <w:t xml:space="preserve">“</w:t>
      </w:r>
      <w:r>
        <w:t xml:space="preserve">directly reflect specific determinations by Enumerated Sources</w:t>
      </w:r>
      <w:r>
        <w:t xml:space="preserve">”</w:t>
      </w:r>
      <w:r>
        <w:t xml:space="preserve"> </w:t>
      </w:r>
      <w:r>
        <w:t xml:space="preserve">under the Secure Networks Act to</w:t>
      </w:r>
      <w:r>
        <w:t xml:space="preserve"> </w:t>
      </w:r>
      <w:r>
        <w:t xml:space="preserve">“</w:t>
      </w:r>
      <w:r>
        <w:t xml:space="preserve">ensure a consistent national security posture.</w:t>
      </w:r>
      <w:r>
        <w:t xml:space="preserve">”</w:t>
      </w:r>
      <w:r>
        <w:t xml:space="preserve"> </w:t>
      </w:r>
      <w:r>
        <w:t xml:space="preserve">CTA Comments at 3–5.</w:t>
      </w:r>
    </w:p>
    <w:p>
      <w:pPr>
        <w:pStyle w:val="BodyText"/>
      </w:pPr>
      <w:r>
        <w:rPr>
          <w:b/>
        </w:rPr>
        <w:t xml:space="preserve">Garmin</w:t>
      </w:r>
      <w:r>
        <w:t xml:space="preserve"> </w:t>
      </w:r>
      <w:r>
        <w:t xml:space="preserve">“</w:t>
      </w:r>
      <w:r>
        <w:t xml:space="preserve">opposes applying the Covered List prohibition to individual device components other than modular transmitters,</w:t>
      </w:r>
      <w:r>
        <w:t xml:space="preserve">”</w:t>
      </w:r>
      <w:r>
        <w:t xml:space="preserve"> </w:t>
      </w:r>
      <w:r>
        <w:t xml:space="preserve">arguing that it</w:t>
      </w:r>
      <w:r>
        <w:t xml:space="preserve"> </w:t>
      </w:r>
      <w:r>
        <w:t xml:space="preserve">“</w:t>
      </w:r>
      <w:r>
        <w:t xml:space="preserve">would be extremely difficult and cost prohibitive to assess totality of supply chains to identify hardware components, firmware components, software components, or semiconductors produced by Covered Entities or their subsidiaries and affiliates.</w:t>
      </w:r>
      <w:r>
        <w:t xml:space="preserve">”</w:t>
      </w:r>
      <w:r>
        <w:t xml:space="preserve"> </w:t>
      </w:r>
      <w:r>
        <w:t xml:space="preserve">Garmin Comments at 4. Garmin explains that tracing the source of each component’s design, manufacture, and importation would be</w:t>
      </w:r>
      <w:r>
        <w:t xml:space="preserve"> </w:t>
      </w:r>
      <w:r>
        <w:t xml:space="preserve">“</w:t>
      </w:r>
      <w:r>
        <w:t xml:space="preserve">a herculean undertaking, if possible at all.</w:t>
      </w:r>
      <w:r>
        <w:t xml:space="preserve">”</w:t>
      </w:r>
      <w:r>
        <w:t xml:space="preserve"> </w:t>
      </w:r>
      <w:r>
        <w:t xml:space="preserve">Garmin Comments at 8. Garmin notes that the phrase</w:t>
      </w:r>
      <w:r>
        <w:t xml:space="preserve"> </w:t>
      </w:r>
      <w:r>
        <w:t xml:space="preserve">“</w:t>
      </w:r>
      <w:r>
        <w:t xml:space="preserve">logic-bearing hardware, firmware, and software</w:t>
      </w:r>
      <w:r>
        <w:t xml:space="preserve">”</w:t>
      </w:r>
      <w:r>
        <w:t xml:space="preserve"> </w:t>
      </w:r>
      <w:r>
        <w:t xml:space="preserve">would cover</w:t>
      </w:r>
      <w:r>
        <w:t xml:space="preserve"> </w:t>
      </w:r>
      <w:r>
        <w:t xml:space="preserve">“</w:t>
      </w:r>
      <w:r>
        <w:t xml:space="preserve">nearly all electronic components and executable code developed over decades, including transistor-transistor logic (TTL) components that are simple in design and do not realistically pose national security risks.</w:t>
      </w:r>
      <w:r>
        <w:t xml:space="preserve">”</w:t>
      </w:r>
      <w:r>
        <w:t xml:space="preserve"> </w:t>
      </w:r>
      <w:r>
        <w:t xml:space="preserve">Garmin Comments at 5.</w:t>
      </w:r>
    </w:p>
    <w:p>
      <w:pPr>
        <w:pStyle w:val="BodyText"/>
      </w:pPr>
      <w:r>
        <w:rPr>
          <w:b/>
        </w:rPr>
        <w:t xml:space="preserve">ITI</w:t>
      </w:r>
      <w:r>
        <w:t xml:space="preserve"> </w:t>
      </w:r>
      <w:r>
        <w:t xml:space="preserve">“</w:t>
      </w:r>
      <w:r>
        <w:t xml:space="preserve">strongly recommends against prohibiting authorization of equipment based on component parts from Covered List absent well-defined security risk identified by appropriate national security agencies for each component part.</w:t>
      </w:r>
      <w:r>
        <w:t xml:space="preserve">”</w:t>
      </w:r>
      <w:r>
        <w:t xml:space="preserve"> </w:t>
      </w:r>
      <w:r>
        <w:t xml:space="preserve">ITI Comments at 2. ITI argues that the</w:t>
      </w:r>
      <w:r>
        <w:t xml:space="preserve"> </w:t>
      </w:r>
      <w:r>
        <w:t xml:space="preserve">“</w:t>
      </w:r>
      <w:r>
        <w:t xml:space="preserve">FCC does not possess statutory authority to bar equipment based on internal components from Covered List entities, other than modular transmitters that qualify as covered equipment.</w:t>
      </w:r>
      <w:r>
        <w:t xml:space="preserve">”</w:t>
      </w:r>
      <w:r>
        <w:t xml:space="preserve"> </w:t>
      </w:r>
      <w:r>
        <w:t xml:space="preserve">ITI Comments at 2. ITI contends that</w:t>
      </w:r>
      <w:r>
        <w:t xml:space="preserve"> </w:t>
      </w:r>
      <w:r>
        <w:t xml:space="preserve">“</w:t>
      </w:r>
      <w:r>
        <w:t xml:space="preserve">[n]othing in the statutes authorizes prohibiting equipment authorization based on non-RF component parts from covered entity</w:t>
      </w:r>
      <w:r>
        <w:t xml:space="preserve">”</w:t>
      </w:r>
      <w:r>
        <w:t xml:space="preserve"> </w:t>
      </w:r>
      <w:r>
        <w:t xml:space="preserve">and that</w:t>
      </w:r>
      <w:r>
        <w:t xml:space="preserve"> </w:t>
      </w:r>
      <w:r>
        <w:t xml:space="preserve">“</w:t>
      </w:r>
      <w:r>
        <w:t xml:space="preserve">Congress did not grant FCC generalized mandate to regulate internal components, software, or data-processing elements.</w:t>
      </w:r>
      <w:r>
        <w:t xml:space="preserve">”</w:t>
      </w:r>
      <w:r>
        <w:t xml:space="preserve"> </w:t>
      </w:r>
      <w:r>
        <w:t xml:space="preserve">ITI Comments at 3.</w:t>
      </w:r>
    </w:p>
    <w:p>
      <w:pPr>
        <w:pStyle w:val="BodyText"/>
      </w:pPr>
      <w:r>
        <w:rPr>
          <w:b/>
        </w:rPr>
        <w:t xml:space="preserve">Sony</w:t>
      </w:r>
      <w:r>
        <w:t xml:space="preserve"> </w:t>
      </w:r>
      <w:r>
        <w:t xml:space="preserve">“</w:t>
      </w:r>
      <w:r>
        <w:t xml:space="preserve">strongly opposes broad expansion of regulations to encompass component parts installed in finished products.</w:t>
      </w:r>
      <w:r>
        <w:t xml:space="preserve">”</w:t>
      </w:r>
      <w:r>
        <w:t xml:space="preserve"> </w:t>
      </w:r>
      <w:r>
        <w:t xml:space="preserve">Sony Comments at 2. Sony argues that the</w:t>
      </w:r>
      <w:r>
        <w:t xml:space="preserve"> </w:t>
      </w:r>
      <w:r>
        <w:t xml:space="preserve">“</w:t>
      </w:r>
      <w:r>
        <w:t xml:space="preserve">contemplated scope could include control components with no communications capability or open-source software</w:t>
      </w:r>
      <w:r>
        <w:t xml:space="preserve">”</w:t>
      </w:r>
      <w:r>
        <w:t xml:space="preserve"> </w:t>
      </w:r>
      <w:r>
        <w:t xml:space="preserve">and that</w:t>
      </w:r>
      <w:r>
        <w:t xml:space="preserve"> </w:t>
      </w:r>
      <w:r>
        <w:t xml:space="preserve">“</w:t>
      </w:r>
      <w:r>
        <w:t xml:space="preserve">[g]lobal supply chains and multi-source design practices make compliance with expansive parts-based prohibition impracticable.</w:t>
      </w:r>
      <w:r>
        <w:t xml:space="preserve">”</w:t>
      </w:r>
      <w:r>
        <w:t xml:space="preserve"> </w:t>
      </w:r>
      <w:r>
        <w:t xml:space="preserve">Sony Comments at 2–3. Sony recommends a</w:t>
      </w:r>
      <w:r>
        <w:t xml:space="preserve"> </w:t>
      </w:r>
      <w:r>
        <w:t xml:space="preserve">“</w:t>
      </w:r>
      <w:r>
        <w:t xml:space="preserve">limited, phased, risk-based approach.</w:t>
      </w:r>
      <w:r>
        <w:t xml:space="preserve">”</w:t>
      </w:r>
      <w:r>
        <w:t xml:space="preserve"> </w:t>
      </w:r>
      <w:r>
        <w:t xml:space="preserve">Sony Comments at 3.</w:t>
      </w:r>
    </w:p>
    <w:p>
      <w:pPr>
        <w:pStyle w:val="BodyText"/>
      </w:pPr>
      <w:r>
        <w:rPr>
          <w:b/>
        </w:rPr>
        <w:t xml:space="preserve">TIA</w:t>
      </w:r>
      <w:r>
        <w:t xml:space="preserve"> </w:t>
      </w:r>
      <w:r>
        <w:t xml:space="preserve">supports the Commission’s national security goals but recommends that</w:t>
      </w:r>
      <w:r>
        <w:t xml:space="preserve"> </w:t>
      </w:r>
      <w:r>
        <w:t xml:space="preserve">“</w:t>
      </w:r>
      <w:r>
        <w:t xml:space="preserve">any restrictions on components should (i) reflect a targeted, risk-based approach leveraging Enumerated Sources input, (ii) include reasonable transition periods based on impacted product production cycles, and (iii) be accompanied by clear, workable guidance for compliance.</w:t>
      </w:r>
      <w:r>
        <w:t xml:space="preserve">”</w:t>
      </w:r>
      <w:r>
        <w:t xml:space="preserve"> </w:t>
      </w:r>
      <w:r>
        <w:t xml:space="preserve">TIA Comments at 2. TIA warns that</w:t>
      </w:r>
      <w:r>
        <w:t xml:space="preserve"> </w:t>
      </w:r>
      <w:r>
        <w:t xml:space="preserve">“</w:t>
      </w:r>
      <w:r>
        <w:t xml:space="preserve">[o]verbroad component-level restrictions could unintentionally favor vendors from foreign adversaries with flexible and opaque supply chains, undermining U.S. and allied industry competitiveness.</w:t>
      </w:r>
      <w:r>
        <w:t xml:space="preserve">”</w:t>
      </w:r>
      <w:r>
        <w:t xml:space="preserve"> </w:t>
      </w:r>
      <w:r>
        <w:t xml:space="preserve">TIA Comments at 5. TIA further recommends that the Commission</w:t>
      </w:r>
      <w:r>
        <w:t xml:space="preserve"> </w:t>
      </w:r>
      <w:r>
        <w:t xml:space="preserve">“</w:t>
      </w:r>
      <w:r>
        <w:t xml:space="preserve">avoid[] restrictions on components that do not actually pose national security risk, such as a logic-bearing component that does not provide the ability to exfiltrate sensitive information or disrupt the product’s function.</w:t>
      </w:r>
      <w:r>
        <w:t xml:space="preserve">”</w:t>
      </w:r>
      <w:r>
        <w:t xml:space="preserve"> </w:t>
      </w:r>
      <w:r>
        <w:t xml:space="preserve">TIA Comments at 5.</w:t>
      </w:r>
    </w:p>
    <w:p>
      <w:pPr>
        <w:pStyle w:val="BodyText"/>
      </w:pPr>
      <w:r>
        <w:rPr>
          <w:b/>
        </w:rPr>
        <w:t xml:space="preserve">USTelecom</w:t>
      </w:r>
      <w:r>
        <w:t xml:space="preserve"> </w:t>
      </w:r>
      <w:r>
        <w:t xml:space="preserve">“</w:t>
      </w:r>
      <w:r>
        <w:t xml:space="preserve">advocate[s] that the Commission: (1) decline to expand the scope of component parts that would render equipment ineligible for authorization; and (2) ensure that any limitations on importation and marketing adopted through the new PSHSB/OET process not impact the ability to import or market products that use component parts made by Covered List entities.</w:t>
      </w:r>
      <w:r>
        <w:t xml:space="preserve">”</w:t>
      </w:r>
      <w:r>
        <w:t xml:space="preserve"> </w:t>
      </w:r>
      <w:r>
        <w:t xml:space="preserve">USTelecom Comments at 5. USTelecom warns that</w:t>
      </w:r>
      <w:r>
        <w:t xml:space="preserve"> </w:t>
      </w:r>
      <w:r>
        <w:t xml:space="preserve">“</w:t>
      </w:r>
      <w:r>
        <w:t xml:space="preserve">[e]xpanding the Covered List efforts to impact component parts in either of these ways would impose significant burdens on ICT device ecosystem companies and U.S. global competitiveness.</w:t>
      </w:r>
      <w:r>
        <w:t xml:space="preserve">”</w:t>
      </w:r>
      <w:r>
        <w:t xml:space="preserve"> </w:t>
      </w:r>
      <w:r>
        <w:t xml:space="preserve">USTelecom Comments at 5. USTelecom further notes that</w:t>
      </w:r>
      <w:r>
        <w:t xml:space="preserve"> </w:t>
      </w:r>
      <w:r>
        <w:t xml:space="preserve">“</w:t>
      </w:r>
      <w:r>
        <w:t xml:space="preserve">[i]dentifying those component parts in legacy systems that are branded under the name of a company not on the FCC’s Covered List would be difficult</w:t>
      </w:r>
      <w:r>
        <w:t xml:space="preserve">”</w:t>
      </w:r>
      <w:r>
        <w:t xml:space="preserve"> </w:t>
      </w:r>
      <w:r>
        <w:t xml:space="preserve">and that</w:t>
      </w:r>
      <w:r>
        <w:t xml:space="preserve"> </w:t>
      </w:r>
      <w:r>
        <w:t xml:space="preserve">“</w:t>
      </w:r>
      <w:r>
        <w:t xml:space="preserve">[i]ncreasing the range of manufacturers of component parts beyond specifically enumerated Covered List entities</w:t>
      </w:r>
      <w:r>
        <w:t xml:space="preserve">”</w:t>
      </w:r>
      <w:r>
        <w:t xml:space="preserve"> </w:t>
      </w:r>
      <w:r>
        <w:t xml:space="preserve">would</w:t>
      </w:r>
      <w:r>
        <w:t xml:space="preserve"> </w:t>
      </w:r>
      <w:r>
        <w:t xml:space="preserve">“</w:t>
      </w:r>
      <w:r>
        <w:t xml:space="preserve">arguably . . . expand the scope of the FCC’s efforts in this area beyond its statutory authority.</w:t>
      </w:r>
      <w:r>
        <w:t xml:space="preserve">”</w:t>
      </w:r>
      <w:r>
        <w:t xml:space="preserve"> </w:t>
      </w:r>
      <w:r>
        <w:t xml:space="preserve">USTelecom Comments at 6.</w:t>
      </w:r>
    </w:p>
    <w:p>
      <w:pPr>
        <w:pStyle w:val="BodyText"/>
      </w:pPr>
      <w:r>
        <w:rPr>
          <w:b/>
        </w:rPr>
        <w:t xml:space="preserve">NTCA</w:t>
      </w:r>
      <w:r>
        <w:t xml:space="preserve"> </w:t>
      </w:r>
      <w:r>
        <w:t xml:space="preserve">expresses concern that the proposed standards are</w:t>
      </w:r>
      <w:r>
        <w:t xml:space="preserve"> </w:t>
      </w:r>
      <w:r>
        <w:t xml:space="preserve">“</w:t>
      </w:r>
      <w:r>
        <w:t xml:space="preserve">vague and impose an unrealistic and unachievable knowledge standard, especially on small communications providers for equipment components that are not identifiable and that have already undergone a certification process.</w:t>
      </w:r>
      <w:r>
        <w:t xml:space="preserve">”</w:t>
      </w:r>
      <w:r>
        <w:t xml:space="preserve"> </w:t>
      </w:r>
      <w:r>
        <w:t xml:space="preserve">NTCA Comments at 10. NTCA emphasizes that</w:t>
      </w:r>
      <w:r>
        <w:t xml:space="preserve"> </w:t>
      </w:r>
      <w:r>
        <w:t xml:space="preserve">“</w:t>
      </w:r>
      <w:r>
        <w:t xml:space="preserve">equipment used by communications providers often contains components manufactured by third parties and arrives encased, making it impossible to identify component manufacturers without disassembling equipment.</w:t>
      </w:r>
      <w:r>
        <w:t xml:space="preserve">”</w:t>
      </w:r>
      <w:r>
        <w:t xml:space="preserve"> </w:t>
      </w:r>
      <w:r>
        <w:t xml:space="preserve">NTCA Comments at 8.</w:t>
      </w:r>
    </w:p>
    <w:p>
      <w:pPr>
        <w:pStyle w:val="BodyText"/>
      </w:pPr>
      <w:r>
        <w:rPr>
          <w:b/>
        </w:rPr>
        <w:t xml:space="preserve">MEMA</w:t>
      </w:r>
      <w:r>
        <w:t xml:space="preserve"> </w:t>
      </w:r>
      <w:r>
        <w:t xml:space="preserve">“</w:t>
      </w:r>
      <w:r>
        <w:t xml:space="preserve">respectfully urges the Commission not to adopt additional component-level restrictions at this time.</w:t>
      </w:r>
      <w:r>
        <w:t xml:space="preserve">”</w:t>
      </w:r>
      <w:r>
        <w:t xml:space="preserve"> </w:t>
      </w:r>
      <w:r>
        <w:t xml:space="preserve">MEMA Comments at 5. MEMA explains that</w:t>
      </w:r>
      <w:r>
        <w:t xml:space="preserve"> </w:t>
      </w:r>
      <w:r>
        <w:t xml:space="preserve">“</w:t>
      </w:r>
      <w:r>
        <w:t xml:space="preserve">[v]ehicle suppliers integrate RF-enabled components into larger systems that have already undergone extensive validation and certification</w:t>
      </w:r>
      <w:r>
        <w:t xml:space="preserve">”</w:t>
      </w:r>
      <w:r>
        <w:t xml:space="preserve"> </w:t>
      </w:r>
      <w:r>
        <w:t xml:space="preserve">and that</w:t>
      </w:r>
      <w:r>
        <w:t xml:space="preserve"> </w:t>
      </w:r>
      <w:r>
        <w:t xml:space="preserve">“</w:t>
      </w:r>
      <w:r>
        <w:t xml:space="preserve">[a]dditional component-level restrictions would require suppliers to redesign and revalidate entire systems even where no product-specific security vulnerability exists.</w:t>
      </w:r>
      <w:r>
        <w:t xml:space="preserve">”</w:t>
      </w:r>
      <w:r>
        <w:t xml:space="preserve"> </w:t>
      </w:r>
      <w:r>
        <w:t xml:space="preserve">MEMA Comments at 5–6. MEMA highlights particular concerns about</w:t>
      </w:r>
      <w:r>
        <w:t xml:space="preserve"> </w:t>
      </w:r>
      <w:r>
        <w:t xml:space="preserve">“</w:t>
      </w:r>
      <w:r>
        <w:t xml:space="preserve">upstream semiconductor ownership changes [that] prompted supply chain disruption despite no change in component design or functionality.</w:t>
      </w:r>
      <w:r>
        <w:t xml:space="preserve">”</w:t>
      </w:r>
      <w:r>
        <w:t xml:space="preserve"> </w:t>
      </w:r>
      <w:r>
        <w:t xml:space="preserve">MEMA Comments at 6.</w:t>
      </w:r>
    </w:p>
    <w:p>
      <w:pPr>
        <w:pStyle w:val="BodyText"/>
      </w:pPr>
      <w:r>
        <w:rPr>
          <w:b/>
        </w:rPr>
        <w:t xml:space="preserve">Hikvision</w:t>
      </w:r>
      <w:r>
        <w:t xml:space="preserve"> </w:t>
      </w:r>
      <w:r>
        <w:t xml:space="preserve">argues that the Commission</w:t>
      </w:r>
      <w:r>
        <w:t xml:space="preserve"> </w:t>
      </w:r>
      <w:r>
        <w:t xml:space="preserve">“</w:t>
      </w:r>
      <w:r>
        <w:t xml:space="preserve">lacks congressional authorization to extend the Covered List to component parts other than modular transmitters because the FCC was explicitly excluded from the list of entities permitted to make the necessary national security determinations.</w:t>
      </w:r>
      <w:r>
        <w:t xml:space="preserve">”</w:t>
      </w:r>
      <w:r>
        <w:t xml:space="preserve"> </w:t>
      </w:r>
      <w:r>
        <w:t xml:space="preserve">Hikvision Comments at 1–2. Hikvision contends that</w:t>
      </w:r>
      <w:r>
        <w:t xml:space="preserve"> </w:t>
      </w:r>
      <w:r>
        <w:t xml:space="preserve">“</w:t>
      </w:r>
      <w:r>
        <w:t xml:space="preserve">Congress has not provided the FCC broad</w:t>
      </w:r>
      <w:r>
        <w:t xml:space="preserve"> </w:t>
      </w:r>
      <w:r>
        <w:t xml:space="preserve">‘</w:t>
      </w:r>
      <w:r>
        <w:t xml:space="preserve">public interest</w:t>
      </w:r>
      <w:r>
        <w:t xml:space="preserve">’</w:t>
      </w:r>
      <w:r>
        <w:t xml:space="preserve"> </w:t>
      </w:r>
      <w:r>
        <w:t xml:space="preserve">authority to regulate electronics—in contrast with the broad public interest authority Congress has given the FCC over broadcasters and common carriers.</w:t>
      </w:r>
      <w:r>
        <w:t xml:space="preserve">”</w:t>
      </w:r>
      <w:r>
        <w:t xml:space="preserve"> </w:t>
      </w:r>
      <w:r>
        <w:t xml:space="preserve">Hikvision Comments at 1.</w:t>
      </w:r>
    </w:p>
    <w:p>
      <w:pPr>
        <w:pStyle w:val="BodyText"/>
      </w:pPr>
      <w:r>
        <w:t xml:space="preserve">In reply comments, additional parties reinforced these positions:</w:t>
      </w:r>
    </w:p>
    <w:p>
      <w:pPr>
        <w:pStyle w:val="BodyText"/>
      </w:pPr>
      <w:r>
        <w:rPr>
          <w:b/>
        </w:rPr>
        <w:t xml:space="preserve">CDA</w:t>
      </w:r>
      <w:r>
        <w:t xml:space="preserve"> </w:t>
      </w:r>
      <w:r>
        <w:t xml:space="preserve">states that the</w:t>
      </w:r>
      <w:r>
        <w:t xml:space="preserve"> </w:t>
      </w:r>
      <w:r>
        <w:t xml:space="preserve">“</w:t>
      </w:r>
      <w:r>
        <w:t xml:space="preserve">FNPRM proposal extends well beyond high-risk equipment and components, risking significant negative downstream impacts for domestic manufacturers and end users, and potentially diluting government and industry resources from true threat assessment.</w:t>
      </w:r>
      <w:r>
        <w:t xml:space="preserve">”</w:t>
      </w:r>
      <w:r>
        <w:t xml:space="preserve"> </w:t>
      </w:r>
      <w:r>
        <w:t xml:space="preserve">CDA Reply at 3. CDA explains that</w:t>
      </w:r>
      <w:r>
        <w:t xml:space="preserve"> </w:t>
      </w:r>
      <w:r>
        <w:t xml:space="preserve">“</w:t>
      </w:r>
      <w:r>
        <w:t xml:space="preserve">[d]rones and other equipment contain hundreds of individual components, each of which would need to be traced to its original source.</w:t>
      </w:r>
      <w:r>
        <w:t xml:space="preserve">”</w:t>
      </w:r>
      <w:r>
        <w:t xml:space="preserve"> </w:t>
      </w:r>
      <w:r>
        <w:t xml:space="preserve">CDA Reply at 3.</w:t>
      </w:r>
    </w:p>
    <w:p>
      <w:pPr>
        <w:pStyle w:val="BodyText"/>
      </w:pPr>
      <w:r>
        <w:rPr>
          <w:b/>
        </w:rPr>
        <w:t xml:space="preserve">INCOMPAS</w:t>
      </w:r>
      <w:r>
        <w:t xml:space="preserve"> </w:t>
      </w:r>
      <w:r>
        <w:t xml:space="preserve">argues that</w:t>
      </w:r>
      <w:r>
        <w:t xml:space="preserve"> </w:t>
      </w:r>
      <w:r>
        <w:t xml:space="preserve">“</w:t>
      </w:r>
      <w:r>
        <w:t xml:space="preserve">[t]he Commission lacks statutory authority to regulate non-RF components</w:t>
      </w:r>
      <w:r>
        <w:t xml:space="preserve">”</w:t>
      </w:r>
      <w:r>
        <w:t xml:space="preserve"> </w:t>
      </w:r>
      <w:r>
        <w:t xml:space="preserve">because</w:t>
      </w:r>
      <w:r>
        <w:t xml:space="preserve"> </w:t>
      </w:r>
      <w:r>
        <w:t xml:space="preserve">“</w:t>
      </w:r>
      <w:r>
        <w:t xml:space="preserve">[s]ection 302 of the Communications Act authorizes equipment certification only for devices that intentionally or unintentionally emit RF energy.</w:t>
      </w:r>
      <w:r>
        <w:t xml:space="preserve">”</w:t>
      </w:r>
      <w:r>
        <w:t xml:space="preserve"> </w:t>
      </w:r>
      <w:r>
        <w:t xml:space="preserve">INCOMPAS Reply at 5. INCOMPAS contends that</w:t>
      </w:r>
      <w:r>
        <w:t xml:space="preserve"> </w:t>
      </w:r>
      <w:r>
        <w:t xml:space="preserve">“</w:t>
      </w:r>
      <w:r>
        <w:t xml:space="preserve">[r]equiring parties to identify, track, and certify the origin of every subcomponent would be infeasible using existing tools</w:t>
      </w:r>
      <w:r>
        <w:t xml:space="preserve">”</w:t>
      </w:r>
      <w:r>
        <w:t xml:space="preserve"> </w:t>
      </w:r>
      <w:r>
        <w:t xml:space="preserve">and</w:t>
      </w:r>
      <w:r>
        <w:t xml:space="preserve"> </w:t>
      </w:r>
      <w:r>
        <w:t xml:space="preserve">“</w:t>
      </w:r>
      <w:r>
        <w:t xml:space="preserve">would overwhelm Telecommunications Certification Bodies (TCBs) and Commission staff, while having a disproportionately negative effect on smaller providers.</w:t>
      </w:r>
      <w:r>
        <w:t xml:space="preserve">”</w:t>
      </w:r>
      <w:r>
        <w:t xml:space="preserve"> </w:t>
      </w:r>
      <w:r>
        <w:t xml:space="preserve">INCOMPAS Reply at 7.</w:t>
      </w:r>
    </w:p>
    <w:p>
      <w:pPr>
        <w:pStyle w:val="BodyText"/>
      </w:pPr>
      <w:r>
        <w:rPr>
          <w:b/>
        </w:rPr>
        <w:t xml:space="preserve">CRF</w:t>
      </w:r>
      <w:r>
        <w:t xml:space="preserve"> </w:t>
      </w:r>
      <w:r>
        <w:t xml:space="preserve">urges the Commission to</w:t>
      </w:r>
      <w:r>
        <w:t xml:space="preserve"> </w:t>
      </w:r>
      <w:r>
        <w:t xml:space="preserve">“</w:t>
      </w:r>
      <w:r>
        <w:t xml:space="preserve">resist extending authorization prohibitions to infinitely divisible sub-inputs,</w:t>
      </w:r>
      <w:r>
        <w:t xml:space="preserve">”</w:t>
      </w:r>
      <w:r>
        <w:t xml:space="preserve"> </w:t>
      </w:r>
      <w:r>
        <w:t xml:space="preserve">arguing that</w:t>
      </w:r>
      <w:r>
        <w:t xml:space="preserve"> </w:t>
      </w:r>
      <w:r>
        <w:t xml:space="preserve">“</w:t>
      </w:r>
      <w:r>
        <w:t xml:space="preserve">[s]ecurity policy is most effective when it focuses on regulated objects that the agency can clearly define, test, and control.</w:t>
      </w:r>
      <w:r>
        <w:t xml:space="preserve">”</w:t>
      </w:r>
      <w:r>
        <w:t xml:space="preserve"> </w:t>
      </w:r>
      <w:r>
        <w:t xml:space="preserve">CRF Comments at 7. CRF warns that</w:t>
      </w:r>
      <w:r>
        <w:t xml:space="preserve"> </w:t>
      </w:r>
      <w:r>
        <w:t xml:space="preserve">“</w:t>
      </w:r>
      <w:r>
        <w:t xml:space="preserve">[c]omponent-level bans multiply compliance complexity across supply chains</w:t>
      </w:r>
      <w:r>
        <w:t xml:space="preserve">”</w:t>
      </w:r>
      <w:r>
        <w:t xml:space="preserve"> </w:t>
      </w:r>
      <w:r>
        <w:t xml:space="preserve">and</w:t>
      </w:r>
      <w:r>
        <w:t xml:space="preserve"> </w:t>
      </w:r>
      <w:r>
        <w:t xml:space="preserve">“</w:t>
      </w:r>
      <w:r>
        <w:t xml:space="preserve">[t]hese burdens fall disproportionately on small manufacturers, system integrators, and downstream assemblers.</w:t>
      </w:r>
      <w:r>
        <w:t xml:space="preserve">”</w:t>
      </w:r>
      <w:r>
        <w:t xml:space="preserve"> </w:t>
      </w:r>
      <w:r>
        <w:t xml:space="preserve">CRF Comments at 7. CRF further cautions that</w:t>
      </w:r>
      <w:r>
        <w:t xml:space="preserve"> </w:t>
      </w:r>
      <w:r>
        <w:t xml:space="preserve">“</w:t>
      </w:r>
      <w:r>
        <w:t xml:space="preserve">component tracing is often infeasible or unverifiable in practice</w:t>
      </w:r>
      <w:r>
        <w:t xml:space="preserve">”</w:t>
      </w:r>
      <w:r>
        <w:t xml:space="preserve"> </w:t>
      </w:r>
      <w:r>
        <w:t xml:space="preserve">and that a regulatory regime premised on</w:t>
      </w:r>
      <w:r>
        <w:t xml:space="preserve"> </w:t>
      </w:r>
      <w:r>
        <w:t xml:space="preserve">“</w:t>
      </w:r>
      <w:r>
        <w:t xml:space="preserve">perfect information does not reflect operational reality.</w:t>
      </w:r>
      <w:r>
        <w:t xml:space="preserve">”</w:t>
      </w:r>
      <w:r>
        <w:t xml:space="preserve"> </w:t>
      </w:r>
      <w:r>
        <w:t xml:space="preserve">CRF Comments at 7.</w:t>
      </w:r>
    </w:p>
    <w:p>
      <w:pPr>
        <w:pStyle w:val="BodyText"/>
      </w:pPr>
      <w:r>
        <w:rPr>
          <w:b/>
        </w:rPr>
        <w:t xml:space="preserve">ALA</w:t>
      </w:r>
      <w:r>
        <w:t xml:space="preserve"> </w:t>
      </w:r>
      <w:r>
        <w:t xml:space="preserve">supports the FCC’s objectives but requests</w:t>
      </w:r>
      <w:r>
        <w:t xml:space="preserve"> </w:t>
      </w:r>
      <w:r>
        <w:t xml:space="preserve">“</w:t>
      </w:r>
      <w:r>
        <w:t xml:space="preserve">recognition of the unique characteristics and inherently low-risk profile of residential and decorative lighting products, smart lighting controls, and ceiling fans,</w:t>
      </w:r>
      <w:r>
        <w:t xml:space="preserve">”</w:t>
      </w:r>
      <w:r>
        <w:t xml:space="preserve"> </w:t>
      </w:r>
      <w:r>
        <w:t xml:space="preserve">noting that</w:t>
      </w:r>
      <w:r>
        <w:t xml:space="preserve"> </w:t>
      </w:r>
      <w:r>
        <w:t xml:space="preserve">“</w:t>
      </w:r>
      <w:r>
        <w:t xml:space="preserve">[u]nlike routers, modems, or security cameras, a smart light bulb or ceiling fan functions as an endpoint device with minimal capacity to compromise network integrity.</w:t>
      </w:r>
      <w:r>
        <w:t xml:space="preserve">”</w:t>
      </w:r>
      <w:r>
        <w:t xml:space="preserve"> </w:t>
      </w:r>
      <w:r>
        <w:t xml:space="preserve">ALA Reply at 1.</w:t>
      </w:r>
    </w:p>
    <w:p>
      <w:pPr>
        <w:pStyle w:val="BodyText"/>
      </w:pPr>
      <w:r>
        <w:rPr>
          <w:b/>
        </w:rPr>
        <w:t xml:space="preserve">NCTA</w:t>
      </w:r>
      <w:r>
        <w:t xml:space="preserve"> </w:t>
      </w:r>
      <w:r>
        <w:t xml:space="preserve">argues that</w:t>
      </w:r>
      <w:r>
        <w:t xml:space="preserve"> </w:t>
      </w:r>
      <w:r>
        <w:t xml:space="preserve">“</w:t>
      </w:r>
      <w:r>
        <w:t xml:space="preserve">the record offers clear evidence that expanding the Covered List to include additional component parts would be an overly broad interpretation of the Commission’s statutory mandate and would create significant, unnecessary burdens.</w:t>
      </w:r>
      <w:r>
        <w:t xml:space="preserve">”</w:t>
      </w:r>
      <w:r>
        <w:t xml:space="preserve"> </w:t>
      </w:r>
      <w:r>
        <w:t xml:space="preserve">NCTA Reply at 2. NCTA contends that</w:t>
      </w:r>
      <w:r>
        <w:t xml:space="preserve"> </w:t>
      </w:r>
      <w:r>
        <w:t xml:space="preserve">“</w:t>
      </w:r>
      <w:r>
        <w:t xml:space="preserve">Congress did not grant the FCC a generalized mandate to regulate internal components, software, or data-processing elements.</w:t>
      </w:r>
      <w:r>
        <w:t xml:space="preserve">”</w:t>
      </w:r>
      <w:r>
        <w:t xml:space="preserve"> </w:t>
      </w:r>
      <w:r>
        <w:t xml:space="preserve">NCTA Reply at 3.</w:t>
      </w:r>
    </w:p>
    <w:p>
      <w:pPr>
        <w:pStyle w:val="BodyText"/>
      </w:pPr>
      <w:r>
        <w:rPr>
          <w:b/>
        </w:rPr>
        <w:t xml:space="preserve">Hikvision Reply</w:t>
      </w:r>
      <w:r>
        <w:t xml:space="preserve"> </w:t>
      </w:r>
      <w:r>
        <w:t xml:space="preserve">states that</w:t>
      </w:r>
      <w:r>
        <w:t xml:space="preserve"> </w:t>
      </w:r>
      <w:r>
        <w:t xml:space="preserve">“</w:t>
      </w:r>
      <w:r>
        <w:t xml:space="preserve">[c]omments from entities such as CTIA, USTelecom, NTCA, CTA, and TIA, as well as companies such as Sony and Garmin, confirm that the Commission’s proposals in the Second FNPRM are both unauthorized by Congress and unwise.</w:t>
      </w:r>
      <w:r>
        <w:t xml:space="preserve">”</w:t>
      </w:r>
      <w:r>
        <w:t xml:space="preserve"> </w:t>
      </w:r>
      <w:r>
        <w:t xml:space="preserve">Hikvision Reply at i. Hikvision Reply further argues that</w:t>
      </w:r>
      <w:r>
        <w:t xml:space="preserve"> </w:t>
      </w:r>
      <w:r>
        <w:t xml:space="preserve">“</w:t>
      </w:r>
      <w:r>
        <w:t xml:space="preserve">strict restrictions on components would disrupt global supply chains and present intractable implementation problems.</w:t>
      </w:r>
      <w:r>
        <w:t xml:space="preserve">”</w:t>
      </w:r>
      <w:r>
        <w:t xml:space="preserve"> </w:t>
      </w:r>
      <w:r>
        <w:t xml:space="preserve">Hikvision Reply at i.</w:t>
      </w:r>
    </w:p>
    <w:p>
      <w:pPr>
        <w:pStyle w:val="Heading4"/>
      </w:pPr>
      <w:bookmarkStart w:id="31" w:name="X663ff0ee603a143f43fd31e3013441cd61f75e5"/>
      <w:r>
        <w:t xml:space="preserve">2. Support for Broad Component-Level Expansion</w:t>
      </w:r>
      <w:bookmarkEnd w:id="31"/>
    </w:p>
    <w:p>
      <w:pPr>
        <w:pStyle w:val="FirstParagraph"/>
      </w:pPr>
      <w:r>
        <w:t xml:space="preserve">A smaller number of commenters support expansive component-level restrictions.</w:t>
      </w:r>
    </w:p>
    <w:p>
      <w:pPr>
        <w:pStyle w:val="BodyText"/>
      </w:pPr>
      <w:r>
        <w:rPr>
          <w:b/>
        </w:rPr>
        <w:t xml:space="preserve">FDD</w:t>
      </w:r>
      <w:r>
        <w:t xml:space="preserve"> </w:t>
      </w:r>
      <w:r>
        <w:t xml:space="preserve">urges the Commission to</w:t>
      </w:r>
      <w:r>
        <w:t xml:space="preserve"> </w:t>
      </w:r>
      <w:r>
        <w:t xml:space="preserve">“</w:t>
      </w:r>
      <w:r>
        <w:t xml:space="preserve">prohibit the authorization of any equipment that contains any components produced by Covered entities</w:t>
      </w:r>
      <w:r>
        <w:t xml:space="preserve">”</w:t>
      </w:r>
      <w:r>
        <w:t xml:space="preserve"> </w:t>
      </w:r>
      <w:r>
        <w:t xml:space="preserve">and to</w:t>
      </w:r>
      <w:r>
        <w:t xml:space="preserve"> </w:t>
      </w:r>
      <w:r>
        <w:t xml:space="preserve">“</w:t>
      </w:r>
      <w:r>
        <w:t xml:space="preserve">enact the broadest possible prohibitions to safeguard U.S. national security,</w:t>
      </w:r>
      <w:r>
        <w:t xml:space="preserve">”</w:t>
      </w:r>
      <w:r>
        <w:t xml:space="preserve"> </w:t>
      </w:r>
      <w:r>
        <w:t xml:space="preserve">rather than</w:t>
      </w:r>
      <w:r>
        <w:t xml:space="preserve"> </w:t>
      </w:r>
      <w:r>
        <w:t xml:space="preserve">“</w:t>
      </w:r>
      <w:r>
        <w:t xml:space="preserve">attempt to pinpoint specific components that may harbor vulnerabilities.</w:t>
      </w:r>
      <w:r>
        <w:t xml:space="preserve">”</w:t>
      </w:r>
      <w:r>
        <w:t xml:space="preserve"> </w:t>
      </w:r>
      <w:r>
        <w:t xml:space="preserve">FDD Comments at 2. FDD argues this approach</w:t>
      </w:r>
      <w:r>
        <w:t xml:space="preserve"> </w:t>
      </w:r>
      <w:r>
        <w:t xml:space="preserve">“</w:t>
      </w:r>
      <w:r>
        <w:t xml:space="preserve">will have the secondary benefit of incentivizing American firms to phase out all covered equipment due to concerns over potential supply chain-related shocks.</w:t>
      </w:r>
      <w:r>
        <w:t xml:space="preserve">”</w:t>
      </w:r>
      <w:r>
        <w:t xml:space="preserve"> </w:t>
      </w:r>
      <w:r>
        <w:t xml:space="preserve">FDD Comments at 2.</w:t>
      </w:r>
    </w:p>
    <w:p>
      <w:pPr>
        <w:pStyle w:val="BodyText"/>
      </w:pPr>
      <w:r>
        <w:rPr>
          <w:b/>
        </w:rPr>
        <w:t xml:space="preserve">Somos</w:t>
      </w:r>
      <w:r>
        <w:t xml:space="preserve"> </w:t>
      </w:r>
      <w:r>
        <w:t xml:space="preserve">“</w:t>
      </w:r>
      <w:r>
        <w:t xml:space="preserve">agrees that communications modules, wireless chipsets, trust platform modules (TPMs), cryptographic elements, and other connectivity-enabling components must be treated as integral to a device’s overall cybersecurity posture.</w:t>
      </w:r>
      <w:r>
        <w:t xml:space="preserve">”</w:t>
      </w:r>
      <w:r>
        <w:t xml:space="preserve"> </w:t>
      </w:r>
      <w:r>
        <w:t xml:space="preserve">Somos Comments at 2. Somos argues that</w:t>
      </w:r>
      <w:r>
        <w:t xml:space="preserve"> </w:t>
      </w:r>
      <w:r>
        <w:t xml:space="preserve">“</w:t>
      </w:r>
      <w:r>
        <w:t xml:space="preserve">any device incorporating components manufactured by Covered List entities should likewise be treated as</w:t>
      </w:r>
      <w:r>
        <w:t xml:space="preserve"> </w:t>
      </w:r>
      <w:r>
        <w:t xml:space="preserve">‘</w:t>
      </w:r>
      <w:r>
        <w:t xml:space="preserve">covered,</w:t>
      </w:r>
      <w:r>
        <w:t xml:space="preserve">’</w:t>
      </w:r>
      <w:r>
        <w:t xml:space="preserve"> </w:t>
      </w:r>
      <w:r>
        <w:t xml:space="preserve">regardless of whether the final device manufacturer is itself listed.</w:t>
      </w:r>
      <w:r>
        <w:t xml:space="preserve">”</w:t>
      </w:r>
      <w:r>
        <w:t xml:space="preserve"> </w:t>
      </w:r>
      <w:r>
        <w:t xml:space="preserve">Somos Comments at 2. Somos recommends incorporating</w:t>
      </w:r>
      <w:r>
        <w:t xml:space="preserve"> </w:t>
      </w:r>
      <w:r>
        <w:t xml:space="preserve">“</w:t>
      </w:r>
      <w:r>
        <w:t xml:space="preserve">SBOM-driven visibility, continuous monitoring, and recognized international standards.</w:t>
      </w:r>
      <w:r>
        <w:t xml:space="preserve">”</w:t>
      </w:r>
      <w:r>
        <w:t xml:space="preserve"> </w:t>
      </w:r>
      <w:r>
        <w:t xml:space="preserve">Somos Comments at 5.</w:t>
      </w:r>
    </w:p>
    <w:p>
      <w:pPr>
        <w:pStyle w:val="BodyText"/>
      </w:pPr>
      <w:r>
        <w:rPr>
          <w:b/>
        </w:rPr>
        <w:t xml:space="preserve">Telit Cinterion</w:t>
      </w:r>
      <w:r>
        <w:t xml:space="preserve"> </w:t>
      </w:r>
      <w:r>
        <w:t xml:space="preserve">supports the Commission’s goals and recommends a</w:t>
      </w:r>
      <w:r>
        <w:t xml:space="preserve"> </w:t>
      </w:r>
      <w:r>
        <w:t xml:space="preserve">“</w:t>
      </w:r>
      <w:r>
        <w:t xml:space="preserve">Produced-By Look-Through</w:t>
      </w:r>
      <w:r>
        <w:t xml:space="preserve">”</w:t>
      </w:r>
      <w:r>
        <w:t xml:space="preserve"> </w:t>
      </w:r>
      <w:r>
        <w:t xml:space="preserve">standard that</w:t>
      </w:r>
      <w:r>
        <w:t xml:space="preserve"> </w:t>
      </w:r>
      <w:r>
        <w:t xml:space="preserve">“</w:t>
      </w:r>
      <w:r>
        <w:t xml:space="preserve">includes any entity that designs, develops, manufactures, supplies, signs firmware, controls over-the-air update infrastructure, manages eSIM/subscription provisioning, or holds cryptographic keys/certificates for an RF module or device, regardless of brand, reseller, or licensee arrangements.</w:t>
      </w:r>
      <w:r>
        <w:t xml:space="preserve">”</w:t>
      </w:r>
      <w:r>
        <w:t xml:space="preserve"> </w:t>
      </w:r>
      <w:r>
        <w:t xml:space="preserve">Telit Cinterion Comments at 2. Telit Cinterion also recommends requiring that</w:t>
      </w:r>
      <w:r>
        <w:t xml:space="preserve"> </w:t>
      </w:r>
      <w:r>
        <w:t xml:space="preserve">“</w:t>
      </w:r>
      <w:r>
        <w:t xml:space="preserve">SBOM and cybersecurity attestations submitted in support of equipment authorization shall be performed by independent third parties.</w:t>
      </w:r>
      <w:r>
        <w:t xml:space="preserve">”</w:t>
      </w:r>
      <w:r>
        <w:t xml:space="preserve"> </w:t>
      </w:r>
      <w:r>
        <w:t xml:space="preserve">Telit Cinterion Comments at 3.</w:t>
      </w:r>
    </w:p>
    <w:p>
      <w:pPr>
        <w:pStyle w:val="Heading4"/>
      </w:pPr>
      <w:bookmarkStart w:id="32" w:name="X02de3caed887b771035f7ba41bc3c402898b9d7"/>
      <w:r>
        <w:t xml:space="preserve">3. Risk-Based and Functionality-Focused Middle Ground</w:t>
      </w:r>
      <w:bookmarkEnd w:id="32"/>
    </w:p>
    <w:p>
      <w:pPr>
        <w:pStyle w:val="FirstParagraph"/>
      </w:pPr>
      <w:r>
        <w:t xml:space="preserve">Several commenters propose a middle path that would permit carefully targeted component restrictions based on the function the component performs.</w:t>
      </w:r>
    </w:p>
    <w:p>
      <w:pPr>
        <w:pStyle w:val="BodyText"/>
      </w:pPr>
      <w:r>
        <w:rPr>
          <w:b/>
        </w:rPr>
        <w:t xml:space="preserve">CTIA</w:t>
      </w:r>
      <w:r>
        <w:t xml:space="preserve"> </w:t>
      </w:r>
      <w:r>
        <w:t xml:space="preserve">proposes a test that would allow a component to trigger covered equipment status</w:t>
      </w:r>
      <w:r>
        <w:t xml:space="preserve"> </w:t>
      </w:r>
      <w:r>
        <w:t xml:space="preserve">“</w:t>
      </w:r>
      <w:r>
        <w:t xml:space="preserve">only if component performs functions of routing/redirecting user data traffic in connection with advanced communications services, OR permitting visibility into any user data/packets.</w:t>
      </w:r>
      <w:r>
        <w:t xml:space="preserve">”</w:t>
      </w:r>
      <w:r>
        <w:t xml:space="preserve"> </w:t>
      </w:r>
      <w:r>
        <w:t xml:space="preserve">CTIA Comments at 11–12. CTIA notes this standard</w:t>
      </w:r>
      <w:r>
        <w:t xml:space="preserve"> </w:t>
      </w:r>
      <w:r>
        <w:t xml:space="preserve">“</w:t>
      </w:r>
      <w:r>
        <w:t xml:space="preserve">appeared in Section 889 as delineation of what is NOT covered equipment</w:t>
      </w:r>
      <w:r>
        <w:t xml:space="preserve">”</w:t>
      </w:r>
      <w:r>
        <w:t xml:space="preserve"> </w:t>
      </w:r>
      <w:r>
        <w:t xml:space="preserve">and argues that</w:t>
      </w:r>
      <w:r>
        <w:t xml:space="preserve"> </w:t>
      </w:r>
      <w:r>
        <w:t xml:space="preserve">“</w:t>
      </w:r>
      <w:r>
        <w:t xml:space="preserve">Congress ordered FCC to include equipment covered by Section 889 on Covered List and imported this language.</w:t>
      </w:r>
      <w:r>
        <w:t xml:space="preserve">”</w:t>
      </w:r>
      <w:r>
        <w:t xml:space="preserve"> </w:t>
      </w:r>
      <w:r>
        <w:t xml:space="preserve">CTIA Comments at 23.</w:t>
      </w:r>
    </w:p>
    <w:p>
      <w:pPr>
        <w:pStyle w:val="BodyText"/>
      </w:pPr>
      <w:r>
        <w:rPr>
          <w:b/>
        </w:rPr>
        <w:t xml:space="preserve">CTA</w:t>
      </w:r>
      <w:r>
        <w:t xml:space="preserve"> </w:t>
      </w:r>
      <w:r>
        <w:t xml:space="preserve">advocates for a</w:t>
      </w:r>
      <w:r>
        <w:t xml:space="preserve"> </w:t>
      </w:r>
      <w:r>
        <w:t xml:space="preserve">“</w:t>
      </w:r>
      <w:r>
        <w:t xml:space="preserve">targeted, risk-based, and functionality-focused approach</w:t>
      </w:r>
      <w:r>
        <w:t xml:space="preserve">”</w:t>
      </w:r>
      <w:r>
        <w:t xml:space="preserve"> </w:t>
      </w:r>
      <w:r>
        <w:t xml:space="preserve">that examines whether a component</w:t>
      </w:r>
      <w:r>
        <w:t xml:space="preserve"> </w:t>
      </w:r>
      <w:r>
        <w:t xml:space="preserve">“</w:t>
      </w:r>
      <w:r>
        <w:t xml:space="preserve">access[es] user information or interact[s] with radio frequency (RF) functions.</w:t>
      </w:r>
      <w:r>
        <w:t xml:space="preserve">”</w:t>
      </w:r>
      <w:r>
        <w:t xml:space="preserve"> </w:t>
      </w:r>
      <w:r>
        <w:t xml:space="preserve">CTA Comments at 6.</w:t>
      </w:r>
    </w:p>
    <w:p>
      <w:pPr>
        <w:pStyle w:val="BodyText"/>
      </w:pPr>
      <w:r>
        <w:rPr>
          <w:b/>
        </w:rPr>
        <w:t xml:space="preserve">ITI</w:t>
      </w:r>
      <w:r>
        <w:t xml:space="preserve"> </w:t>
      </w:r>
      <w:r>
        <w:t xml:space="preserve">urges</w:t>
      </w:r>
      <w:r>
        <w:t xml:space="preserve"> </w:t>
      </w:r>
      <w:r>
        <w:t xml:space="preserve">“</w:t>
      </w:r>
      <w:r>
        <w:t xml:space="preserve">narrow</w:t>
      </w:r>
      <w:r>
        <w:t xml:space="preserve">”</w:t>
      </w:r>
      <w:r>
        <w:t xml:space="preserve"> </w:t>
      </w:r>
      <w:r>
        <w:t xml:space="preserve">and</w:t>
      </w:r>
      <w:r>
        <w:t xml:space="preserve"> </w:t>
      </w:r>
      <w:r>
        <w:t xml:space="preserve">“</w:t>
      </w:r>
      <w:r>
        <w:t xml:space="preserve">evidence-based</w:t>
      </w:r>
      <w:r>
        <w:t xml:space="preserve">”</w:t>
      </w:r>
      <w:r>
        <w:t xml:space="preserve"> </w:t>
      </w:r>
      <w:r>
        <w:t xml:space="preserve">analysis, excluding components that are</w:t>
      </w:r>
      <w:r>
        <w:t xml:space="preserve"> </w:t>
      </w:r>
      <w:r>
        <w:t xml:space="preserve">“</w:t>
      </w:r>
      <w:r>
        <w:t xml:space="preserve">incapable of independent communication, lack remote controllability, or are effectively isolated through system architecture and operational controls.</w:t>
      </w:r>
      <w:r>
        <w:t xml:space="preserve">”</w:t>
      </w:r>
      <w:r>
        <w:t xml:space="preserve"> </w:t>
      </w:r>
      <w:r>
        <w:t xml:space="preserve">ITI Comments at 4.</w:t>
      </w:r>
    </w:p>
    <w:p>
      <w:pPr>
        <w:pStyle w:val="BodyText"/>
      </w:pPr>
      <w:r>
        <w:rPr>
          <w:b/>
        </w:rPr>
        <w:t xml:space="preserve">Pyka</w:t>
      </w:r>
      <w:r>
        <w:t xml:space="preserve"> </w:t>
      </w:r>
      <w:r>
        <w:t xml:space="preserve">recommends the Commission</w:t>
      </w:r>
      <w:r>
        <w:t xml:space="preserve"> </w:t>
      </w:r>
      <w:r>
        <w:t xml:space="preserve">“</w:t>
      </w:r>
      <w:r>
        <w:t xml:space="preserve">focus on component parts posing tangible security concerns</w:t>
      </w:r>
      <w:r>
        <w:t xml:space="preserve">”</w:t>
      </w:r>
      <w:r>
        <w:t xml:space="preserve"> </w:t>
      </w:r>
      <w:r>
        <w:t xml:space="preserve">and specifically identifies three categories of components warranting scrutiny for UAS:</w:t>
      </w:r>
      <w:r>
        <w:t xml:space="preserve"> </w:t>
      </w:r>
      <w:r>
        <w:t xml:space="preserve">“</w:t>
      </w:r>
      <w:r>
        <w:t xml:space="preserve">(1) Radiofrequency devices that do not already have FCC approval; (2) Flight Control Software; and (3) Ground Control Station Software.</w:t>
      </w:r>
      <w:r>
        <w:t xml:space="preserve">”</w:t>
      </w:r>
      <w:r>
        <w:t xml:space="preserve"> </w:t>
      </w:r>
      <w:r>
        <w:t xml:space="preserve">Pyka Reply at 5. Pyka argues that</w:t>
      </w:r>
      <w:r>
        <w:t xml:space="preserve"> </w:t>
      </w:r>
      <w:r>
        <w:t xml:space="preserve">“</w:t>
      </w:r>
      <w:r>
        <w:t xml:space="preserve">[i]ncluding all other types of component parts would be an overly broad approach that risks restricting equipment and components that pose little to no national security concern.</w:t>
      </w:r>
      <w:r>
        <w:t xml:space="preserve">”</w:t>
      </w:r>
      <w:r>
        <w:t xml:space="preserve"> </w:t>
      </w:r>
      <w:r>
        <w:t xml:space="preserve">Pyka Reply at 5.</w:t>
      </w:r>
    </w:p>
    <w:p>
      <w:pPr>
        <w:pStyle w:val="Heading3"/>
      </w:pPr>
      <w:bookmarkStart w:id="33" w:name="b.-transition-periods"/>
      <w:r>
        <w:t xml:space="preserve">B. Transition Periods</w:t>
      </w:r>
      <w:bookmarkEnd w:id="33"/>
    </w:p>
    <w:p>
      <w:pPr>
        <w:pStyle w:val="FirstParagraph"/>
      </w:pPr>
      <w:r>
        <w:t xml:space="preserve">The record broadly supports the need for significant transition periods if the Commission proceeds with component-level restrictions.</w:t>
      </w:r>
    </w:p>
    <w:p>
      <w:pPr>
        <w:pStyle w:val="BodyText"/>
      </w:pPr>
      <w:r>
        <w:rPr>
          <w:b/>
        </w:rPr>
        <w:t xml:space="preserve">CTIA</w:t>
      </w:r>
      <w:r>
        <w:t xml:space="preserve"> </w:t>
      </w:r>
      <w:r>
        <w:t xml:space="preserve">“</w:t>
      </w:r>
      <w:r>
        <w:t xml:space="preserve">recommends [a] reasonable transition period for companies to locate replacement parts</w:t>
      </w:r>
      <w:r>
        <w:t xml:space="preserve">”</w:t>
      </w:r>
      <w:r>
        <w:t xml:space="preserve"> </w:t>
      </w:r>
      <w:r>
        <w:t xml:space="preserve">and suggests a</w:t>
      </w:r>
      <w:r>
        <w:t xml:space="preserve"> </w:t>
      </w:r>
      <w:r>
        <w:t xml:space="preserve">“</w:t>
      </w:r>
      <w:r>
        <w:t xml:space="preserve">default period of at least two years may be appropriate, though may need shortening based on specific national security concerns or lengthening as circumstances warrant.</w:t>
      </w:r>
      <w:r>
        <w:t xml:space="preserve">”</w:t>
      </w:r>
      <w:r>
        <w:t xml:space="preserve"> </w:t>
      </w:r>
      <w:r>
        <w:t xml:space="preserve">CTIA Comments at 15. CTIA urges the Commission to</w:t>
      </w:r>
      <w:r>
        <w:t xml:space="preserve"> </w:t>
      </w:r>
      <w:r>
        <w:t xml:space="preserve">“</w:t>
      </w:r>
      <w:r>
        <w:t xml:space="preserve">prioritize collaboration/coordination with industry stakeholders determining optimal transition path.</w:t>
      </w:r>
      <w:r>
        <w:t xml:space="preserve">”</w:t>
      </w:r>
      <w:r>
        <w:t xml:space="preserve"> </w:t>
      </w:r>
      <w:r>
        <w:t xml:space="preserve">CTIA Comments at 16.</w:t>
      </w:r>
    </w:p>
    <w:p>
      <w:pPr>
        <w:pStyle w:val="BodyText"/>
      </w:pPr>
      <w:r>
        <w:rPr>
          <w:b/>
        </w:rPr>
        <w:t xml:space="preserve">TIA</w:t>
      </w:r>
      <w:r>
        <w:t xml:space="preserve"> </w:t>
      </w:r>
      <w:r>
        <w:t xml:space="preserve">argues that</w:t>
      </w:r>
      <w:r>
        <w:t xml:space="preserve"> </w:t>
      </w:r>
      <w:r>
        <w:t xml:space="preserve">“</w:t>
      </w:r>
      <w:r>
        <w:t xml:space="preserve">[t]o minimize negative impacts on U.S. consumers and businesses, any component restrictions should include reasonable transition periods reflecting impacted product production cycles.</w:t>
      </w:r>
      <w:r>
        <w:t xml:space="preserve">”</w:t>
      </w:r>
      <w:r>
        <w:t xml:space="preserve"> </w:t>
      </w:r>
      <w:r>
        <w:t xml:space="preserve">TIA Comments at 6. TIA notes that</w:t>
      </w:r>
      <w:r>
        <w:t xml:space="preserve"> </w:t>
      </w:r>
      <w:r>
        <w:t xml:space="preserve">“</w:t>
      </w:r>
      <w:r>
        <w:t xml:space="preserve">the Department of Commerce recognized the need to provide two years for connected vehicle manufacturers to replace certain software components and five years for certain hardware components</w:t>
      </w:r>
      <w:r>
        <w:t xml:space="preserve">”</w:t>
      </w:r>
      <w:r>
        <w:t xml:space="preserve"> </w:t>
      </w:r>
      <w:r>
        <w:t xml:space="preserve">and suggests the Commission</w:t>
      </w:r>
      <w:r>
        <w:t xml:space="preserve"> </w:t>
      </w:r>
      <w:r>
        <w:t xml:space="preserve">“</w:t>
      </w:r>
      <w:r>
        <w:t xml:space="preserve">may face a similar situation.</w:t>
      </w:r>
      <w:r>
        <w:t xml:space="preserve">”</w:t>
      </w:r>
      <w:r>
        <w:t xml:space="preserve"> </w:t>
      </w:r>
      <w:r>
        <w:t xml:space="preserve">TIA Comments at 6.</w:t>
      </w:r>
    </w:p>
    <w:p>
      <w:pPr>
        <w:pStyle w:val="BodyText"/>
      </w:pPr>
      <w:r>
        <w:rPr>
          <w:b/>
        </w:rPr>
        <w:t xml:space="preserve">MEMA</w:t>
      </w:r>
      <w:r>
        <w:t xml:space="preserve"> </w:t>
      </w:r>
      <w:r>
        <w:t xml:space="preserve">explains that</w:t>
      </w:r>
      <w:r>
        <w:t xml:space="preserve"> </w:t>
      </w:r>
      <w:r>
        <w:t xml:space="preserve">“</w:t>
      </w:r>
      <w:r>
        <w:t xml:space="preserve">[t]ypical development cycles for vehicle components that incorporate radiofrequency (RF) functionality span 18–36 months and involve extensive electromagnetic compatibility testing, functional safety validation, cybersecurity review, and regulatory certification.</w:t>
      </w:r>
      <w:r>
        <w:t xml:space="preserve">”</w:t>
      </w:r>
      <w:r>
        <w:t xml:space="preserve"> </w:t>
      </w:r>
      <w:r>
        <w:t xml:space="preserve">MEMA Comments at 2. MEMA warns that</w:t>
      </w:r>
      <w:r>
        <w:t xml:space="preserve"> </w:t>
      </w:r>
      <w:r>
        <w:t xml:space="preserve">“</w:t>
      </w:r>
      <w:r>
        <w:t xml:space="preserve">[c]hanges to equipment authorization requirements mid-cycle have a cascading effect.</w:t>
      </w:r>
      <w:r>
        <w:t xml:space="preserve">”</w:t>
      </w:r>
      <w:r>
        <w:t xml:space="preserve"> </w:t>
      </w:r>
      <w:r>
        <w:t xml:space="preserve">MEMA Comments at 2.</w:t>
      </w:r>
    </w:p>
    <w:p>
      <w:pPr>
        <w:pStyle w:val="BodyText"/>
      </w:pPr>
      <w:r>
        <w:rPr>
          <w:b/>
        </w:rPr>
        <w:t xml:space="preserve">ALA</w:t>
      </w:r>
      <w:r>
        <w:t xml:space="preserve"> </w:t>
      </w:r>
      <w:r>
        <w:t xml:space="preserve">recommends</w:t>
      </w:r>
      <w:r>
        <w:t xml:space="preserve"> </w:t>
      </w:r>
      <w:r>
        <w:t xml:space="preserve">“</w:t>
      </w:r>
      <w:r>
        <w:t xml:space="preserve">a phased implementation period of no less than 18 months following adoption of final rules for any requirements that necessitate component changes.</w:t>
      </w:r>
      <w:r>
        <w:t xml:space="preserve">”</w:t>
      </w:r>
      <w:r>
        <w:t xml:space="preserve"> </w:t>
      </w:r>
      <w:r>
        <w:t xml:space="preserve">ALA Reply at 2.</w:t>
      </w:r>
    </w:p>
    <w:p>
      <w:pPr>
        <w:pStyle w:val="BodyText"/>
      </w:pPr>
      <w:r>
        <w:rPr>
          <w:b/>
        </w:rPr>
        <w:t xml:space="preserve">Pyka</w:t>
      </w:r>
      <w:r>
        <w:t xml:space="preserve"> </w:t>
      </w:r>
      <w:r>
        <w:t xml:space="preserve">states that</w:t>
      </w:r>
      <w:r>
        <w:t xml:space="preserve"> </w:t>
      </w:r>
      <w:r>
        <w:t xml:space="preserve">“</w:t>
      </w:r>
      <w:r>
        <w:t xml:space="preserve">transition timelines should be set in years, not months</w:t>
      </w:r>
      <w:r>
        <w:t xml:space="preserve">”</w:t>
      </w:r>
      <w:r>
        <w:t xml:space="preserve"> </w:t>
      </w:r>
      <w:r>
        <w:t xml:space="preserve">and notes that</w:t>
      </w:r>
      <w:r>
        <w:t xml:space="preserve"> </w:t>
      </w:r>
      <w:r>
        <w:t xml:space="preserve">“</w:t>
      </w:r>
      <w:r>
        <w:t xml:space="preserve">[i]n the UAS sector specifically, changes to critical components can trigger a full FAA re-approval process for the aircraft, which is extensive, time-intensive, and costly.</w:t>
      </w:r>
      <w:r>
        <w:t xml:space="preserve">”</w:t>
      </w:r>
      <w:r>
        <w:t xml:space="preserve"> </w:t>
      </w:r>
      <w:r>
        <w:t xml:space="preserve">Pyka Reply at 8.</w:t>
      </w:r>
    </w:p>
    <w:p>
      <w:pPr>
        <w:pStyle w:val="BodyText"/>
      </w:pPr>
      <w:r>
        <w:rPr>
          <w:b/>
        </w:rPr>
        <w:t xml:space="preserve">TIA Reply</w:t>
      </w:r>
      <w:r>
        <w:t xml:space="preserve"> </w:t>
      </w:r>
      <w:r>
        <w:t xml:space="preserve">“</w:t>
      </w:r>
      <w:r>
        <w:t xml:space="preserve">strongly supports</w:t>
      </w:r>
      <w:r>
        <w:t xml:space="preserve">”</w:t>
      </w:r>
      <w:r>
        <w:t xml:space="preserve"> </w:t>
      </w:r>
      <w:r>
        <w:t xml:space="preserve">the Commission’s recent UAS waiver allowing continued software, firmware, and security updates and</w:t>
      </w:r>
      <w:r>
        <w:t xml:space="preserve"> </w:t>
      </w:r>
      <w:r>
        <w:t xml:space="preserve">“</w:t>
      </w:r>
      <w:r>
        <w:t xml:space="preserve">urges the Commission to adopt this approach as a general matter in any future Covered List prohibitions, absent specific determinations that continued maintenance poses an unacceptable threat.</w:t>
      </w:r>
      <w:r>
        <w:t xml:space="preserve">”</w:t>
      </w:r>
      <w:r>
        <w:t xml:space="preserve"> </w:t>
      </w:r>
      <w:r>
        <w:t xml:space="preserve">TIA Reply at 4.</w:t>
      </w:r>
    </w:p>
    <w:p>
      <w:pPr>
        <w:pStyle w:val="BodyText"/>
      </w:pPr>
      <w:r>
        <w:rPr>
          <w:b/>
        </w:rPr>
        <w:t xml:space="preserve">NCTA</w:t>
      </w:r>
      <w:r>
        <w:t xml:space="preserve"> </w:t>
      </w:r>
      <w:r>
        <w:t xml:space="preserve">urges a delay of</w:t>
      </w:r>
      <w:r>
        <w:t xml:space="preserve"> </w:t>
      </w:r>
      <w:r>
        <w:t xml:space="preserve">“</w:t>
      </w:r>
      <w:r>
        <w:t xml:space="preserve">at least 12 months following the Second Order’s effective date</w:t>
      </w:r>
      <w:r>
        <w:t xml:space="preserve">”</w:t>
      </w:r>
      <w:r>
        <w:t xml:space="preserve"> </w:t>
      </w:r>
      <w:r>
        <w:t xml:space="preserve">before proceeding with component regulation,</w:t>
      </w:r>
      <w:r>
        <w:t xml:space="preserve"> </w:t>
      </w:r>
      <w:r>
        <w:t xml:space="preserve">“</w:t>
      </w:r>
      <w:r>
        <w:t xml:space="preserve">to collect data on how the modular transmitter prohibition works in practice.</w:t>
      </w:r>
      <w:r>
        <w:t xml:space="preserve">”</w:t>
      </w:r>
      <w:r>
        <w:t xml:space="preserve"> </w:t>
      </w:r>
      <w:r>
        <w:t xml:space="preserve">NCTA Reply at 4.</w:t>
      </w:r>
    </w:p>
    <w:p>
      <w:pPr>
        <w:pStyle w:val="Heading3"/>
      </w:pPr>
      <w:bookmarkStart w:id="34" w:name="Xb57dad19a5eaa6f541f09ca39207a66bfbb3e9e"/>
      <w:r>
        <w:t xml:space="preserve">C. Foreign Adversary Modular Transmitter Prohibition (¶ 63)</w:t>
      </w:r>
      <w:bookmarkEnd w:id="34"/>
    </w:p>
    <w:p>
      <w:pPr>
        <w:pStyle w:val="FirstParagraph"/>
      </w:pPr>
      <w:r>
        <w:t xml:space="preserve">The Commission seeks comment on whether to prohibit authorization of equipment containing modular transmitters produced by any person owned by, controlled by, or subject to the jurisdiction or direction of a foreign adversary.</w:t>
      </w:r>
    </w:p>
    <w:p>
      <w:pPr>
        <w:pStyle w:val="BodyText"/>
      </w:pPr>
      <w:r>
        <w:rPr>
          <w:b/>
        </w:rPr>
        <w:t xml:space="preserve">FDD</w:t>
      </w:r>
      <w:r>
        <w:t xml:space="preserve"> </w:t>
      </w:r>
      <w:r>
        <w:t xml:space="preserve">supports this proposal, urging the</w:t>
      </w:r>
      <w:r>
        <w:t xml:space="preserve"> </w:t>
      </w:r>
      <w:r>
        <w:t xml:space="preserve">“</w:t>
      </w:r>
      <w:r>
        <w:t xml:space="preserve">broadest possible prohibitions.</w:t>
      </w:r>
      <w:r>
        <w:t xml:space="preserve">”</w:t>
      </w:r>
      <w:r>
        <w:t xml:space="preserve"> </w:t>
      </w:r>
      <w:r>
        <w:t xml:space="preserve">FDD Comments at 2.</w:t>
      </w:r>
    </w:p>
    <w:p>
      <w:pPr>
        <w:pStyle w:val="BodyText"/>
      </w:pPr>
      <w:r>
        <w:rPr>
          <w:b/>
        </w:rPr>
        <w:t xml:space="preserve">Hikvision</w:t>
      </w:r>
      <w:r>
        <w:t xml:space="preserve"> </w:t>
      </w:r>
      <w:r>
        <w:t xml:space="preserve">opposes this proposal as exceeding the Commission’s statutory authority. Hikvision Comments at 1–2.</w:t>
      </w:r>
    </w:p>
    <w:p>
      <w:pPr>
        <w:pStyle w:val="BodyText"/>
      </w:pPr>
      <w:r>
        <w:rPr>
          <w:b/>
        </w:rPr>
        <w:t xml:space="preserve">CRF</w:t>
      </w:r>
      <w:r>
        <w:t xml:space="preserve"> </w:t>
      </w:r>
      <w:r>
        <w:t xml:space="preserve">warns that such</w:t>
      </w:r>
      <w:r>
        <w:t xml:space="preserve"> </w:t>
      </w:r>
      <w:r>
        <w:t xml:space="preserve">“</w:t>
      </w:r>
      <w:r>
        <w:t xml:space="preserve">indirect steering is characteristic of de facto industrial policy</w:t>
      </w:r>
      <w:r>
        <w:t xml:space="preserve">”</w:t>
      </w:r>
      <w:r>
        <w:t xml:space="preserve"> </w:t>
      </w:r>
      <w:r>
        <w:t xml:space="preserve">and that</w:t>
      </w:r>
      <w:r>
        <w:t xml:space="preserve"> </w:t>
      </w:r>
      <w:r>
        <w:t xml:space="preserve">“</w:t>
      </w:r>
      <w:r>
        <w:t xml:space="preserve">[u]nlike explicit policy, which is debated, enacted, and funded by Congress, de facto industrial policy emerges through layered administrative decisions that cumulatively reshape markets.</w:t>
      </w:r>
      <w:r>
        <w:t xml:space="preserve">”</w:t>
      </w:r>
      <w:r>
        <w:t xml:space="preserve"> </w:t>
      </w:r>
      <w:r>
        <w:t xml:space="preserve">CRF Comments at 7.</w:t>
      </w:r>
    </w:p>
    <w:p>
      <w:pPr>
        <w:pStyle w:val="Heading3"/>
      </w:pPr>
      <w:bookmarkStart w:id="35" w:name="X8d4bbb85e77ac2facea3187f84aec2662684ce6"/>
      <w:r>
        <w:t xml:space="preserve">D. Hudson Institute Proposal (¶ 64) and Additional Measures (¶ 65)</w:t>
      </w:r>
      <w:bookmarkEnd w:id="35"/>
    </w:p>
    <w:p>
      <w:pPr>
        <w:pStyle w:val="FirstParagraph"/>
      </w:pPr>
      <w:r>
        <w:t xml:space="preserve">The Commission seeks comment on the Hudson Institute’s recommendation to prohibit authorization of all equipment containing semiconductors, modular transmitters, GPS and timing modules, and optical transceivers produced by any person owned by, controlled by, or subject to the jurisdiction or direction of a foreign adversary.</w:t>
      </w:r>
    </w:p>
    <w:p>
      <w:pPr>
        <w:pStyle w:val="BodyText"/>
      </w:pPr>
      <w:r>
        <w:t xml:space="preserve">The record overwhelmingly opposes this sweeping proposal.</w:t>
      </w:r>
      <w:r>
        <w:t xml:space="preserve"> </w:t>
      </w:r>
      <w:r>
        <w:rPr>
          <w:b/>
        </w:rPr>
        <w:t xml:space="preserve">CTIA</w:t>
      </w:r>
      <w:r>
        <w:t xml:space="preserve"> </w:t>
      </w:r>
      <w:r>
        <w:t xml:space="preserve">warns that the categories identified—</w:t>
      </w:r>
      <w:r>
        <w:t xml:space="preserve">“</w:t>
      </w:r>
      <w:r>
        <w:t xml:space="preserve">semiconductors,</w:t>
      </w:r>
      <w:r>
        <w:t xml:space="preserve">”</w:t>
      </w:r>
      <w:r>
        <w:t xml:space="preserve"> </w:t>
      </w:r>
      <w:r>
        <w:t xml:space="preserve">“</w:t>
      </w:r>
      <w:r>
        <w:t xml:space="preserve">logic bearing hardware, firmware, or software,</w:t>
      </w:r>
      <w:r>
        <w:t xml:space="preserve">”</w:t>
      </w:r>
      <w:r>
        <w:t xml:space="preserve"> </w:t>
      </w:r>
      <w:r>
        <w:t xml:space="preserve">“</w:t>
      </w:r>
      <w:r>
        <w:t xml:space="preserve">GPS and timing modules, and optical transceivers</w:t>
      </w:r>
      <w:r>
        <w:t xml:space="preserve">”</w:t>
      </w:r>
      <w:r>
        <w:t xml:space="preserve">—</w:t>
      </w:r>
      <w:r>
        <w:t xml:space="preserve">“</w:t>
      </w:r>
      <w:r>
        <w:t xml:space="preserve">are too broad.</w:t>
      </w:r>
      <w:r>
        <w:t xml:space="preserve">”</w:t>
      </w:r>
      <w:r>
        <w:t xml:space="preserve"> </w:t>
      </w:r>
      <w:r>
        <w:t xml:space="preserve">CTIA Comments at 13.</w:t>
      </w:r>
      <w:r>
        <w:t xml:space="preserve"> </w:t>
      </w:r>
      <w:r>
        <w:rPr>
          <w:b/>
        </w:rPr>
        <w:t xml:space="preserve">CDA</w:t>
      </w:r>
      <w:r>
        <w:t xml:space="preserve"> </w:t>
      </w:r>
      <w:r>
        <w:t xml:space="preserve">states that a</w:t>
      </w:r>
      <w:r>
        <w:t xml:space="preserve"> </w:t>
      </w:r>
      <w:r>
        <w:t xml:space="preserve">“</w:t>
      </w:r>
      <w:r>
        <w:t xml:space="preserve">proposal to restrict</w:t>
      </w:r>
      <w:r>
        <w:t xml:space="preserve"> </w:t>
      </w:r>
      <w:r>
        <w:t xml:space="preserve">‘</w:t>
      </w:r>
      <w:r>
        <w:t xml:space="preserve">semiconductors</w:t>
      </w:r>
      <w:r>
        <w:t xml:space="preserve">’</w:t>
      </w:r>
      <w:r>
        <w:t xml:space="preserve"> </w:t>
      </w:r>
      <w:r>
        <w:t xml:space="preserve">is extraordinarily broad; all electronics contain semiconductors; proposal would effectively ban most electronics from U.S. market.</w:t>
      </w:r>
      <w:r>
        <w:t xml:space="preserve">”</w:t>
      </w:r>
      <w:r>
        <w:t xml:space="preserve"> </w:t>
      </w:r>
      <w:r>
        <w:t xml:space="preserve">CDA Reply at 5.</w:t>
      </w:r>
      <w:r>
        <w:t xml:space="preserve"> </w:t>
      </w:r>
      <w:r>
        <w:rPr>
          <w:b/>
        </w:rPr>
        <w:t xml:space="preserve">Pyka</w:t>
      </w:r>
      <w:r>
        <w:t xml:space="preserve"> </w:t>
      </w:r>
      <w:r>
        <w:t xml:space="preserve">notes that for some components,</w:t>
      </w:r>
      <w:r>
        <w:t xml:space="preserve"> </w:t>
      </w:r>
      <w:r>
        <w:t xml:space="preserve">“</w:t>
      </w:r>
      <w:r>
        <w:t xml:space="preserve">there may be a very limited number of components that have been produced by an entity that is not subject to the jurisdiction of China</w:t>
      </w:r>
      <w:r>
        <w:t xml:space="preserve">”</w:t>
      </w:r>
      <w:r>
        <w:t xml:space="preserve"> </w:t>
      </w:r>
      <w:r>
        <w:t xml:space="preserve">and that alternatives have</w:t>
      </w:r>
      <w:r>
        <w:t xml:space="preserve"> </w:t>
      </w:r>
      <w:r>
        <w:t xml:space="preserve">“</w:t>
      </w:r>
      <w:r>
        <w:t xml:space="preserve">substantially higher cost (in some instances, up to ten times the current price) and reduced functionality.</w:t>
      </w:r>
      <w:r>
        <w:t xml:space="preserve">”</w:t>
      </w:r>
      <w:r>
        <w:t xml:space="preserve"> </w:t>
      </w:r>
      <w:r>
        <w:t xml:space="preserve">Pyka Reply at 5.</w:t>
      </w:r>
    </w:p>
    <w:p>
      <w:pPr>
        <w:pStyle w:val="BodyText"/>
      </w:pPr>
      <w:r>
        <w:rPr>
          <w:b/>
        </w:rPr>
        <w:t xml:space="preserve">FDD</w:t>
      </w:r>
      <w:r>
        <w:t xml:space="preserve"> </w:t>
      </w:r>
      <w:r>
        <w:t xml:space="preserve">alone supports this approach, recommending the broadest possible prohibition. FDD Comments at 2.</w:t>
      </w:r>
    </w:p>
    <w:p>
      <w:pPr>
        <w:pStyle w:val="Heading3"/>
      </w:pPr>
      <w:bookmarkStart w:id="36" w:name="Xa5ae27a9bd70ba6bf81cbaa611bcc04c8450ca5"/>
      <w:r>
        <w:t xml:space="preserve">E. Whole-of-Government Approach and Enumerated Sources</w:t>
      </w:r>
      <w:bookmarkEnd w:id="36"/>
    </w:p>
    <w:p>
      <w:pPr>
        <w:pStyle w:val="FirstParagraph"/>
      </w:pPr>
      <w:r>
        <w:t xml:space="preserve">A strong consensus exists in the record that any component prohibitions should be grounded in specific determinations by Enumerated Sources under the Secure Networks Act, rather than independent FCC analysis.</w:t>
      </w:r>
    </w:p>
    <w:p>
      <w:pPr>
        <w:pStyle w:val="BodyText"/>
      </w:pPr>
      <w:r>
        <w:rPr>
          <w:b/>
        </w:rPr>
        <w:t xml:space="preserve">CTA</w:t>
      </w:r>
      <w:r>
        <w:t xml:space="preserve"> </w:t>
      </w:r>
      <w:r>
        <w:t xml:space="preserve">argues that</w:t>
      </w:r>
      <w:r>
        <w:t xml:space="preserve"> </w:t>
      </w:r>
      <w:r>
        <w:t xml:space="preserve">“</w:t>
      </w:r>
      <w:r>
        <w:t xml:space="preserve">any Covered List implementation must directly reflect specific determinations by Enumerated Sources.</w:t>
      </w:r>
      <w:r>
        <w:t xml:space="preserve">”</w:t>
      </w:r>
      <w:r>
        <w:t xml:space="preserve"> </w:t>
      </w:r>
      <w:r>
        <w:t xml:space="preserve">CTA Comments at 3.</w:t>
      </w:r>
      <w:r>
        <w:t xml:space="preserve"> </w:t>
      </w:r>
      <w:r>
        <w:rPr>
          <w:b/>
        </w:rPr>
        <w:t xml:space="preserve">TIA</w:t>
      </w:r>
      <w:r>
        <w:t xml:space="preserve"> </w:t>
      </w:r>
      <w:r>
        <w:t xml:space="preserve">states that</w:t>
      </w:r>
      <w:r>
        <w:t xml:space="preserve"> </w:t>
      </w:r>
      <w:r>
        <w:t xml:space="preserve">“</w:t>
      </w:r>
      <w:r>
        <w:t xml:space="preserve">any national security prohibitions on equipment or services—including components—from untrusted suppliers should directly flow from specific Enumerated Sources determinations.</w:t>
      </w:r>
      <w:r>
        <w:t xml:space="preserve">”</w:t>
      </w:r>
      <w:r>
        <w:t xml:space="preserve"> </w:t>
      </w:r>
      <w:r>
        <w:t xml:space="preserve">TIA Comments at 3.</w:t>
      </w:r>
      <w:r>
        <w:t xml:space="preserve"> </w:t>
      </w:r>
      <w:r>
        <w:rPr>
          <w:b/>
        </w:rPr>
        <w:t xml:space="preserve">NCTA</w:t>
      </w:r>
      <w:r>
        <w:t xml:space="preserve"> </w:t>
      </w:r>
      <w:r>
        <w:t xml:space="preserve">agrees that</w:t>
      </w:r>
      <w:r>
        <w:t xml:space="preserve"> </w:t>
      </w:r>
      <w:r>
        <w:t xml:space="preserve">“</w:t>
      </w:r>
      <w:r>
        <w:t xml:space="preserve">any updates to the Covered List and restrictions that flow from those updates must be directly based on specific determinations by one or more Enumerated Sources.</w:t>
      </w:r>
      <w:r>
        <w:t xml:space="preserve">”</w:t>
      </w:r>
      <w:r>
        <w:t xml:space="preserve"> </w:t>
      </w:r>
      <w:r>
        <w:t xml:space="preserve">NCTA Reply at 4.</w:t>
      </w:r>
    </w:p>
    <w:p>
      <w:pPr>
        <w:pStyle w:val="BodyText"/>
      </w:pPr>
      <w:r>
        <w:rPr>
          <w:b/>
        </w:rPr>
        <w:t xml:space="preserve">MEMA</w:t>
      </w:r>
      <w:r>
        <w:t xml:space="preserve"> </w:t>
      </w:r>
      <w:r>
        <w:t xml:space="preserve">“</w:t>
      </w:r>
      <w:r>
        <w:t xml:space="preserve">respectfully urges the FCC to continue [its interagency coordination] approach</w:t>
      </w:r>
      <w:r>
        <w:t xml:space="preserve">”</w:t>
      </w:r>
      <w:r>
        <w:t xml:space="preserve"> </w:t>
      </w:r>
      <w:r>
        <w:t xml:space="preserve">and details extensive overlap with BIS export controls, Commerce ICTS supply chain review authorities, CISA cybersecurity guidance, CBP import processes, NHTSA safety requirements, and DOJ enforcement frameworks. MEMA Comments at 4–5.</w:t>
      </w:r>
    </w:p>
    <w:p>
      <w:pPr>
        <w:pStyle w:val="BodyText"/>
      </w:pPr>
      <w:r>
        <w:rPr>
          <w:b/>
        </w:rPr>
        <w:t xml:space="preserve">INCOMPAS</w:t>
      </w:r>
      <w:r>
        <w:t xml:space="preserve"> </w:t>
      </w:r>
      <w:r>
        <w:t xml:space="preserve">similarly argues that</w:t>
      </w:r>
      <w:r>
        <w:t xml:space="preserve"> </w:t>
      </w:r>
      <w:r>
        <w:t xml:space="preserve">“</w:t>
      </w:r>
      <w:r>
        <w:t xml:space="preserve">[c]oordination with agencies such as Team Telecom, CISA, FAA, and other relevant federal bodies will help confirm FCC action is risk-informed, consistent across government, and grounded in agency expertise.</w:t>
      </w:r>
      <w:r>
        <w:t xml:space="preserve">”</w:t>
      </w:r>
      <w:r>
        <w:t xml:space="preserve"> </w:t>
      </w:r>
      <w:r>
        <w:t xml:space="preserve">INCOMPAS Reply at 7.</w:t>
      </w:r>
    </w:p>
    <w:p>
      <w:pPr>
        <w:pStyle w:val="Heading3"/>
      </w:pPr>
      <w:bookmarkStart w:id="37" w:name="X92268540d5cd80bba4d126d48f0ccb8d5f9b017"/>
      <w:r>
        <w:t xml:space="preserve">F. Availability of Replacements and Supply Chain Realities</w:t>
      </w:r>
      <w:bookmarkEnd w:id="37"/>
    </w:p>
    <w:p>
      <w:pPr>
        <w:pStyle w:val="FirstParagraph"/>
      </w:pPr>
      <w:r>
        <w:t xml:space="preserve">Several commenters address the limited availability of domestic or allied-nation alternatives for certain components.</w:t>
      </w:r>
    </w:p>
    <w:p>
      <w:pPr>
        <w:pStyle w:val="BodyText"/>
      </w:pPr>
      <w:r>
        <w:rPr>
          <w:b/>
        </w:rPr>
        <w:t xml:space="preserve">Pyka</w:t>
      </w:r>
      <w:r>
        <w:t xml:space="preserve"> </w:t>
      </w:r>
      <w:r>
        <w:t xml:space="preserve">states that</w:t>
      </w:r>
      <w:r>
        <w:t xml:space="preserve"> </w:t>
      </w:r>
      <w:r>
        <w:t xml:space="preserve">“</w:t>
      </w:r>
      <w:r>
        <w:t xml:space="preserve">one UAS sensor component made by a U.S. supplier (although assembled overseas) . . . has only 60% of the obstacle detection range of the state-of-the-art alternative—a critical limitation for agricultural drones that must operate reliably near obstacles.</w:t>
      </w:r>
      <w:r>
        <w:t xml:space="preserve">”</w:t>
      </w:r>
      <w:r>
        <w:t xml:space="preserve"> </w:t>
      </w:r>
      <w:r>
        <w:t xml:space="preserve">Pyka Reply at 5. Pyka urges the Commission to</w:t>
      </w:r>
      <w:r>
        <w:t xml:space="preserve"> </w:t>
      </w:r>
      <w:r>
        <w:t xml:space="preserve">“</w:t>
      </w:r>
      <w:r>
        <w:t xml:space="preserve">consider whether any exemptions to its rules are necessary in light of supply chain realities.</w:t>
      </w:r>
      <w:r>
        <w:t xml:space="preserve">”</w:t>
      </w:r>
      <w:r>
        <w:t xml:space="preserve"> </w:t>
      </w:r>
      <w:r>
        <w:t xml:space="preserve">Pyka Reply at 5.</w:t>
      </w:r>
    </w:p>
    <w:p>
      <w:pPr>
        <w:pStyle w:val="BodyText"/>
      </w:pPr>
      <w:r>
        <w:rPr>
          <w:b/>
        </w:rPr>
        <w:t xml:space="preserve">Garmin</w:t>
      </w:r>
      <w:r>
        <w:t xml:space="preserve"> </w:t>
      </w:r>
      <w:r>
        <w:t xml:space="preserve">warns of significant cost and implementation challenges for manufacturers operating under tight margins, particularly small and medium-sized manufacturers. Garmin Comments at 8.</w:t>
      </w:r>
    </w:p>
    <w:p>
      <w:pPr>
        <w:pStyle w:val="BodyText"/>
      </w:pPr>
      <w:r>
        <w:rPr>
          <w:b/>
        </w:rPr>
        <w:t xml:space="preserve">Pyka</w:t>
      </w:r>
      <w:r>
        <w:t xml:space="preserve"> </w:t>
      </w:r>
      <w:r>
        <w:t xml:space="preserve">recommends a</w:t>
      </w:r>
      <w:r>
        <w:t xml:space="preserve"> </w:t>
      </w:r>
      <w:r>
        <w:t xml:space="preserve">“</w:t>
      </w:r>
      <w:r>
        <w:t xml:space="preserve">coordinated, whole-of-government approach</w:t>
      </w:r>
      <w:r>
        <w:t xml:space="preserve">”</w:t>
      </w:r>
      <w:r>
        <w:t xml:space="preserve"> </w:t>
      </w:r>
      <w:r>
        <w:t xml:space="preserve">including</w:t>
      </w:r>
      <w:r>
        <w:t xml:space="preserve"> </w:t>
      </w:r>
      <w:r>
        <w:t xml:space="preserve">“</w:t>
      </w:r>
      <w:r>
        <w:t xml:space="preserve">targeted financial incentives,</w:t>
      </w:r>
      <w:r>
        <w:t xml:space="preserve">”</w:t>
      </w:r>
      <w:r>
        <w:t xml:space="preserve"> </w:t>
      </w:r>
      <w:r>
        <w:t xml:space="preserve">“</w:t>
      </w:r>
      <w:r>
        <w:t xml:space="preserve">removing manufacturing barriers,</w:t>
      </w:r>
      <w:r>
        <w:t xml:space="preserve">”</w:t>
      </w:r>
      <w:r>
        <w:t xml:space="preserve"> </w:t>
      </w:r>
      <w:r>
        <w:t xml:space="preserve">and</w:t>
      </w:r>
      <w:r>
        <w:t xml:space="preserve"> </w:t>
      </w:r>
      <w:r>
        <w:t xml:space="preserve">“</w:t>
      </w:r>
      <w:r>
        <w:t xml:space="preserve">market support</w:t>
      </w:r>
      <w:r>
        <w:t xml:space="preserve">”</w:t>
      </w:r>
      <w:r>
        <w:t xml:space="preserve"> </w:t>
      </w:r>
      <w:r>
        <w:t xml:space="preserve">to develop domestic alternatives. Pyka Reply at 8.</w:t>
      </w:r>
    </w:p>
    <w:p>
      <w:r>
        <w:pict>
          <v:rect style="width:0;height:1.5pt" o:hralign="center" o:hrstd="t" o:hr="t"/>
        </w:pict>
      </w:r>
    </w:p>
    <w:p>
      <w:pPr>
        <w:pStyle w:val="Heading2"/>
      </w:pPr>
      <w:bookmarkStart w:id="38" w:name="ii.-critical-infrastructure-6680"/>
      <w:r>
        <w:t xml:space="preserve">II. CRITICAL INFRASTRUCTURE (¶¶ 66–80)</w:t>
      </w:r>
      <w:bookmarkEnd w:id="38"/>
    </w:p>
    <w:p>
      <w:pPr>
        <w:pStyle w:val="FirstParagraph"/>
      </w:pPr>
      <w:r>
        <w:t xml:space="preserve">In the Second FNPRM, the Commission proposes to define</w:t>
      </w:r>
      <w:r>
        <w:t xml:space="preserve"> </w:t>
      </w:r>
      <w:r>
        <w:t xml:space="preserve">“</w:t>
      </w:r>
      <w:r>
        <w:t xml:space="preserve">critical infrastructure</w:t>
      </w:r>
      <w:r>
        <w:t xml:space="preserve">”</w:t>
      </w:r>
      <w:r>
        <w:t xml:space="preserve"> </w:t>
      </w:r>
      <w:r>
        <w:t xml:space="preserve">as:</w:t>
      </w:r>
      <w:r>
        <w:t xml:space="preserve"> </w:t>
      </w:r>
      <w:r>
        <w:t xml:space="preserve">“</w:t>
      </w:r>
      <w:r>
        <w:t xml:space="preserve">Systems and assets, whether physical or virtual, so vital to the United States that the incapacity or destruction of such systems would have a debilitating impact on security, national economic security, national public health or safety, or a combination of those matters.</w:t>
      </w:r>
      <w:r>
        <w:t xml:space="preserve">”</w:t>
      </w:r>
      <w:r>
        <w:t xml:space="preserve"> </w:t>
      </w:r>
      <w:r>
        <w:t xml:space="preserve">This definition is drawn from the USA PATRIOT Act and would exclude the</w:t>
      </w:r>
      <w:r>
        <w:t xml:space="preserve"> </w:t>
      </w:r>
      <w:r>
        <w:t xml:space="preserve">“</w:t>
      </w:r>
      <w:r>
        <w:t xml:space="preserve">connected to</w:t>
      </w:r>
      <w:r>
        <w:t xml:space="preserve">”</w:t>
      </w:r>
      <w:r>
        <w:t xml:space="preserve"> </w:t>
      </w:r>
      <w:r>
        <w:t xml:space="preserve">language the D.C. Circuit found to be</w:t>
      </w:r>
      <w:r>
        <w:t xml:space="preserve"> </w:t>
      </w:r>
      <w:r>
        <w:t xml:space="preserve">“</w:t>
      </w:r>
      <w:r>
        <w:t xml:space="preserve">arbitrarily broad</w:t>
      </w:r>
      <w:r>
        <w:t xml:space="preserve">”</w:t>
      </w:r>
      <w:r>
        <w:t xml:space="preserve"> </w:t>
      </w:r>
      <w:r>
        <w:t xml:space="preserve">in</w:t>
      </w:r>
      <w:r>
        <w:t xml:space="preserve"> </w:t>
      </w:r>
      <w:r>
        <w:rPr>
          <w:i/>
        </w:rPr>
        <w:t xml:space="preserve">Hikvision USA, Inc. v. FCC</w:t>
      </w:r>
      <w:r>
        <w:t xml:space="preserve">. The Commission also seeks comment on whether to interpret</w:t>
      </w:r>
      <w:r>
        <w:t xml:space="preserve"> </w:t>
      </w:r>
      <w:r>
        <w:t xml:space="preserve">“</w:t>
      </w:r>
      <w:r>
        <w:t xml:space="preserve">critical infrastructure</w:t>
      </w:r>
      <w:r>
        <w:t xml:space="preserve">”</w:t>
      </w:r>
      <w:r>
        <w:t xml:space="preserve"> </w:t>
      </w:r>
      <w:r>
        <w:t xml:space="preserve">to encompass equipment used in the provision of services or functions in the 16 critical infrastructure sectors.</w:t>
      </w:r>
    </w:p>
    <w:p>
      <w:pPr>
        <w:pStyle w:val="Heading3"/>
      </w:pPr>
      <w:bookmarkStart w:id="39" w:name="Xf91e717975e8a46dd408b618e3f453394ccc07f"/>
      <w:r>
        <w:t xml:space="preserve">A. Support for the Patriot Act Base Definition</w:t>
      </w:r>
      <w:bookmarkEnd w:id="39"/>
    </w:p>
    <w:p>
      <w:pPr>
        <w:pStyle w:val="FirstParagraph"/>
      </w:pPr>
      <w:r>
        <w:t xml:space="preserve">A substantial consensus supports adopting the Patriot Act definition as the base definition of</w:t>
      </w:r>
      <w:r>
        <w:t xml:space="preserve"> </w:t>
      </w:r>
      <w:r>
        <w:t xml:space="preserve">“</w:t>
      </w:r>
      <w:r>
        <w:t xml:space="preserve">critical infrastructure.</w:t>
      </w:r>
      <w:r>
        <w:t xml:space="preserve">”</w:t>
      </w:r>
    </w:p>
    <w:p>
      <w:pPr>
        <w:pStyle w:val="BodyText"/>
      </w:pPr>
      <w:r>
        <w:rPr>
          <w:b/>
        </w:rPr>
        <w:t xml:space="preserve">CTIA</w:t>
      </w:r>
      <w:r>
        <w:t xml:space="preserve"> </w:t>
      </w:r>
      <w:r>
        <w:t xml:space="preserve">“</w:t>
      </w:r>
      <w:r>
        <w:t xml:space="preserve">agrees with [the]</w:t>
      </w:r>
      <w:r>
        <w:t xml:space="preserve"> </w:t>
      </w:r>
      <w:r>
        <w:t xml:space="preserve">‘</w:t>
      </w:r>
      <w:r>
        <w:t xml:space="preserve">critical infrastructure</w:t>
      </w:r>
      <w:r>
        <w:t xml:space="preserve">’</w:t>
      </w:r>
      <w:r>
        <w:t xml:space="preserve"> </w:t>
      </w:r>
      <w:r>
        <w:t xml:space="preserve">definition proposed in FNPRM</w:t>
      </w:r>
      <w:r>
        <w:t xml:space="preserve">”</w:t>
      </w:r>
      <w:r>
        <w:t xml:space="preserve"> </w:t>
      </w:r>
      <w:r>
        <w:t xml:space="preserve">noting it is</w:t>
      </w:r>
      <w:r>
        <w:t xml:space="preserve"> </w:t>
      </w:r>
      <w:r>
        <w:t xml:space="preserve">“</w:t>
      </w:r>
      <w:r>
        <w:t xml:space="preserve">drawn from the Patriot Act and used in other sources such as Presidential Policy Directive 21 (PPD-21) and National Security Memorandum 22 (NSM-22)</w:t>
      </w:r>
      <w:r>
        <w:t xml:space="preserve">”</w:t>
      </w:r>
      <w:r>
        <w:t xml:space="preserve"> </w:t>
      </w:r>
      <w:r>
        <w:t xml:space="preserve">and</w:t>
      </w:r>
      <w:r>
        <w:t xml:space="preserve"> </w:t>
      </w:r>
      <w:r>
        <w:t xml:space="preserve">“</w:t>
      </w:r>
      <w:r>
        <w:t xml:space="preserve">urges adoption without edit or interpretation.</w:t>
      </w:r>
      <w:r>
        <w:t xml:space="preserve">”</w:t>
      </w:r>
      <w:r>
        <w:t xml:space="preserve"> </w:t>
      </w:r>
      <w:r>
        <w:t xml:space="preserve">CTIA Comments at 23.</w:t>
      </w:r>
    </w:p>
    <w:p>
      <w:pPr>
        <w:pStyle w:val="BodyText"/>
      </w:pPr>
      <w:r>
        <w:rPr>
          <w:b/>
        </w:rPr>
        <w:t xml:space="preserve">USTelecom</w:t>
      </w:r>
      <w:r>
        <w:t xml:space="preserve"> </w:t>
      </w:r>
      <w:r>
        <w:t xml:space="preserve">“</w:t>
      </w:r>
      <w:r>
        <w:t xml:space="preserve">supports using the definition proposed in the FNPRM, without changes, and recommends that the Commission not construe that definition in ways which could have unintended consequences and place the FCC out of step with both relevant expert agencies and the text of the NDAA.</w:t>
      </w:r>
      <w:r>
        <w:t xml:space="preserve">”</w:t>
      </w:r>
      <w:r>
        <w:t xml:space="preserve"> </w:t>
      </w:r>
      <w:r>
        <w:t xml:space="preserve">USTelecom Comments at 11.</w:t>
      </w:r>
    </w:p>
    <w:p>
      <w:pPr>
        <w:pStyle w:val="BodyText"/>
      </w:pPr>
      <w:r>
        <w:rPr>
          <w:b/>
        </w:rPr>
        <w:t xml:space="preserve">FDD</w:t>
      </w:r>
      <w:r>
        <w:t xml:space="preserve"> </w:t>
      </w:r>
      <w:r>
        <w:t xml:space="preserve">“</w:t>
      </w:r>
      <w:r>
        <w:t xml:space="preserve">should adopt the following definition of critical infrastructure</w:t>
      </w:r>
      <w:r>
        <w:t xml:space="preserve">”</w:t>
      </w:r>
      <w:r>
        <w:t xml:space="preserve"> </w:t>
      </w:r>
      <w:r>
        <w:t xml:space="preserve">based on the Patriot Act, noting it</w:t>
      </w:r>
      <w:r>
        <w:t xml:space="preserve"> </w:t>
      </w:r>
      <w:r>
        <w:t xml:space="preserve">“</w:t>
      </w:r>
      <w:r>
        <w:t xml:space="preserve">has been used in numerous national security documents since its passage and is functionally similar to other definitions used across the federal government.</w:t>
      </w:r>
      <w:r>
        <w:t xml:space="preserve">”</w:t>
      </w:r>
      <w:r>
        <w:t xml:space="preserve"> </w:t>
      </w:r>
      <w:r>
        <w:t xml:space="preserve">FDD Comments at 2.</w:t>
      </w:r>
    </w:p>
    <w:p>
      <w:pPr>
        <w:pStyle w:val="BodyText"/>
      </w:pPr>
      <w:r>
        <w:rPr>
          <w:b/>
        </w:rPr>
        <w:t xml:space="preserve">NCTA</w:t>
      </w:r>
      <w:r>
        <w:t xml:space="preserve"> </w:t>
      </w:r>
      <w:r>
        <w:t xml:space="preserve">“</w:t>
      </w:r>
      <w:r>
        <w:t xml:space="preserve">agrees the Commission’s proposal for Covered List references to</w:t>
      </w:r>
      <w:r>
        <w:t xml:space="preserve"> </w:t>
      </w:r>
      <w:r>
        <w:t xml:space="preserve">‘</w:t>
      </w:r>
      <w:r>
        <w:t xml:space="preserve">critical infrastructure</w:t>
      </w:r>
      <w:r>
        <w:t xml:space="preserve">’</w:t>
      </w:r>
      <w:r>
        <w:t xml:space="preserve"> </w:t>
      </w:r>
      <w:r>
        <w:t xml:space="preserve">should rely on the Patriot Act definition</w:t>
      </w:r>
      <w:r>
        <w:t xml:space="preserve"> </w:t>
      </w:r>
      <w:r>
        <w:t xml:space="preserve">‘</w:t>
      </w:r>
      <w:r>
        <w:t xml:space="preserve">without the suggested elaboration</w:t>
      </w:r>
      <w:r>
        <w:t xml:space="preserve">’</w:t>
      </w:r>
      <w:r>
        <w:t xml:space="preserve">”</w:t>
      </w:r>
      <w:r>
        <w:t xml:space="preserve"> </w:t>
      </w:r>
      <w:r>
        <w:t xml:space="preserve">because</w:t>
      </w:r>
      <w:r>
        <w:t xml:space="preserve"> </w:t>
      </w:r>
      <w:r>
        <w:t xml:space="preserve">“</w:t>
      </w:r>
      <w:r>
        <w:t xml:space="preserve">the definition is already widely used and understood by industry and government stakeholders.</w:t>
      </w:r>
      <w:r>
        <w:t xml:space="preserve">”</w:t>
      </w:r>
      <w:r>
        <w:t xml:space="preserve"> </w:t>
      </w:r>
      <w:r>
        <w:t xml:space="preserve">NCTA Reply at 8.</w:t>
      </w:r>
    </w:p>
    <w:p>
      <w:pPr>
        <w:pStyle w:val="BodyText"/>
      </w:pPr>
      <w:r>
        <w:rPr>
          <w:b/>
        </w:rPr>
        <w:t xml:space="preserve">MSI</w:t>
      </w:r>
      <w:r>
        <w:t xml:space="preserve"> </w:t>
      </w:r>
      <w:r>
        <w:t xml:space="preserve">“</w:t>
      </w:r>
      <w:r>
        <w:t xml:space="preserve">urges adoption of a definition consistent with how other government agencies use the term</w:t>
      </w:r>
      <w:r>
        <w:t xml:space="preserve">”</w:t>
      </w:r>
      <w:r>
        <w:t xml:space="preserve"> </w:t>
      </w:r>
      <w:r>
        <w:t xml:space="preserve">and states that</w:t>
      </w:r>
      <w:r>
        <w:t xml:space="preserve"> </w:t>
      </w:r>
      <w:r>
        <w:t xml:space="preserve">“</w:t>
      </w:r>
      <w:r>
        <w:t xml:space="preserve">[t]he record demonstrates broad agreement that the Commission should adopt . . . a definition of critical infrastructure that is consistent with the use of that term by other parts of the U.S. government.</w:t>
      </w:r>
      <w:r>
        <w:t xml:space="preserve">”</w:t>
      </w:r>
      <w:r>
        <w:t xml:space="preserve"> </w:t>
      </w:r>
      <w:r>
        <w:t xml:space="preserve">MSI Reply at 1–2.</w:t>
      </w:r>
    </w:p>
    <w:p>
      <w:pPr>
        <w:pStyle w:val="Heading3"/>
      </w:pPr>
      <w:bookmarkStart w:id="40" w:name="Xd293fe5871c61a9215ab6ea5f8519a5f4c2b08d"/>
      <w:r>
        <w:t xml:space="preserve">B. Opposition to Expansion Beyond the Base Definition</w:t>
      </w:r>
      <w:bookmarkEnd w:id="40"/>
    </w:p>
    <w:p>
      <w:pPr>
        <w:pStyle w:val="FirstParagraph"/>
      </w:pPr>
      <w:r>
        <w:t xml:space="preserve">The record divides sharply on whether the Commission should interpret the definition to encompass equipment used in the 16 critical infrastructure sectors.</w:t>
      </w:r>
    </w:p>
    <w:p>
      <w:pPr>
        <w:pStyle w:val="BodyText"/>
      </w:pPr>
      <w:r>
        <w:rPr>
          <w:b/>
        </w:rPr>
        <w:t xml:space="preserve">NTCA</w:t>
      </w:r>
      <w:r>
        <w:t xml:space="preserve"> </w:t>
      </w:r>
      <w:r>
        <w:t xml:space="preserve">“</w:t>
      </w:r>
      <w:r>
        <w:t xml:space="preserve">opposes the Commission’s further suggestion that</w:t>
      </w:r>
      <w:r>
        <w:t xml:space="preserve"> </w:t>
      </w:r>
      <w:r>
        <w:t xml:space="preserve">‘</w:t>
      </w:r>
      <w:r>
        <w:t xml:space="preserve">critical infrastructure</w:t>
      </w:r>
      <w:r>
        <w:t xml:space="preserve">’</w:t>
      </w:r>
      <w:r>
        <w:t xml:space="preserve"> </w:t>
      </w:r>
      <w:r>
        <w:t xml:space="preserve">could also be</w:t>
      </w:r>
      <w:r>
        <w:t xml:space="preserve"> </w:t>
      </w:r>
      <w:r>
        <w:t xml:space="preserve">‘</w:t>
      </w:r>
      <w:r>
        <w:t xml:space="preserve">interpreted</w:t>
      </w:r>
      <w:r>
        <w:t xml:space="preserve">’</w:t>
      </w:r>
      <w:r>
        <w:t xml:space="preserve"> </w:t>
      </w:r>
      <w:r>
        <w:t xml:space="preserve">to encompass</w:t>
      </w:r>
      <w:r>
        <w:t xml:space="preserve"> </w:t>
      </w:r>
      <w:r>
        <w:t xml:space="preserve">‘</w:t>
      </w:r>
      <w:r>
        <w:t xml:space="preserve">equipment when used in the provision of services or functions in the 16 critical infrastructure sectors.</w:t>
      </w:r>
      <w:r>
        <w:t xml:space="preserve">’</w:t>
      </w:r>
      <w:r>
        <w:t xml:space="preserve">”</w:t>
      </w:r>
      <w:r>
        <w:t xml:space="preserve"> </w:t>
      </w:r>
      <w:r>
        <w:t xml:space="preserve">NTCA Comments at 4. NTCA argues this approach</w:t>
      </w:r>
      <w:r>
        <w:t xml:space="preserve"> </w:t>
      </w:r>
      <w:r>
        <w:t xml:space="preserve">“</w:t>
      </w:r>
      <w:r>
        <w:t xml:space="preserve">far exceeds the NDAA scope and injects significant uncertainty,</w:t>
      </w:r>
      <w:r>
        <w:t xml:space="preserve">”</w:t>
      </w:r>
      <w:r>
        <w:t xml:space="preserve"> </w:t>
      </w:r>
      <w:r>
        <w:t xml:space="preserve">noting that</w:t>
      </w:r>
      <w:r>
        <w:t xml:space="preserve"> </w:t>
      </w:r>
      <w:r>
        <w:t xml:space="preserve">“</w:t>
      </w:r>
      <w:r>
        <w:t xml:space="preserve">a communications provider using RF equipment for a conference center behind a firewall</w:t>
      </w:r>
      <w:r>
        <w:t xml:space="preserve">”</w:t>
      </w:r>
      <w:r>
        <w:t xml:space="preserve"> </w:t>
      </w:r>
      <w:r>
        <w:t xml:space="preserve">or</w:t>
      </w:r>
      <w:r>
        <w:t xml:space="preserve"> </w:t>
      </w:r>
      <w:r>
        <w:t xml:space="preserve">“</w:t>
      </w:r>
      <w:r>
        <w:t xml:space="preserve">RF equipment for electric metering</w:t>
      </w:r>
      <w:r>
        <w:t xml:space="preserve">”</w:t>
      </w:r>
      <w:r>
        <w:t xml:space="preserve"> </w:t>
      </w:r>
      <w:r>
        <w:t xml:space="preserve">would face uncertainty as to whether such uses constitute critical infrastructure. NTCA Comments at 4–5.</w:t>
      </w:r>
    </w:p>
    <w:p>
      <w:pPr>
        <w:pStyle w:val="BodyText"/>
      </w:pPr>
      <w:r>
        <w:rPr>
          <w:b/>
        </w:rPr>
        <w:t xml:space="preserve">USTelecom</w:t>
      </w:r>
      <w:r>
        <w:t xml:space="preserve"> </w:t>
      </w:r>
      <w:r>
        <w:t xml:space="preserve">argues that</w:t>
      </w:r>
      <w:r>
        <w:t xml:space="preserve"> </w:t>
      </w:r>
      <w:r>
        <w:t xml:space="preserve">“</w:t>
      </w:r>
      <w:r>
        <w:t xml:space="preserve">Congress has not delegated to the Commission authority to define the provision of critical services or functions with respect to the Communications Sector or any other critical infrastructure sector</w:t>
      </w:r>
      <w:r>
        <w:t xml:space="preserve">”</w:t>
      </w:r>
      <w:r>
        <w:t xml:space="preserve"> </w:t>
      </w:r>
      <w:r>
        <w:t xml:space="preserve">and that</w:t>
      </w:r>
      <w:r>
        <w:t xml:space="preserve"> </w:t>
      </w:r>
      <w:r>
        <w:t xml:space="preserve">“</w:t>
      </w:r>
      <w:r>
        <w:t xml:space="preserve">CISA is the Sector Risk Management Agency (</w:t>
      </w:r>
      <w:r>
        <w:t xml:space="preserve">‘</w:t>
      </w:r>
      <w:r>
        <w:t xml:space="preserve">SRMA</w:t>
      </w:r>
      <w:r>
        <w:t xml:space="preserve">’</w:t>
      </w:r>
      <w:r>
        <w:t xml:space="preserve">) for the Communications Sector and is tasked by Congress with defining requirements for assessing and assisting critical infrastructure with managing cybersecurity risk.</w:t>
      </w:r>
      <w:r>
        <w:t xml:space="preserve">”</w:t>
      </w:r>
      <w:r>
        <w:t xml:space="preserve"> </w:t>
      </w:r>
      <w:r>
        <w:t xml:space="preserve">USTelecom Comments at 15. USTelecom contends that</w:t>
      </w:r>
      <w:r>
        <w:t xml:space="preserve"> </w:t>
      </w:r>
      <w:r>
        <w:t xml:space="preserve">“</w:t>
      </w:r>
      <w:r>
        <w:t xml:space="preserve">[i]f the Commission again adopts interpretations of its critical infrastructure definition that greatly expand or confuse its meaning, it is difficult to see how the Commission could satisfy the D.C. Circuit’s decision.</w:t>
      </w:r>
      <w:r>
        <w:t xml:space="preserve">”</w:t>
      </w:r>
      <w:r>
        <w:t xml:space="preserve"> </w:t>
      </w:r>
      <w:r>
        <w:t xml:space="preserve">USTelecom Comments at 15.</w:t>
      </w:r>
    </w:p>
    <w:p>
      <w:pPr>
        <w:pStyle w:val="BodyText"/>
      </w:pPr>
      <w:r>
        <w:rPr>
          <w:b/>
        </w:rPr>
        <w:t xml:space="preserve">Hikvision</w:t>
      </w:r>
      <w:r>
        <w:t xml:space="preserve"> </w:t>
      </w:r>
      <w:r>
        <w:t xml:space="preserve">argues that the Commission’s</w:t>
      </w:r>
      <w:r>
        <w:t xml:space="preserve"> </w:t>
      </w:r>
      <w:r>
        <w:t xml:space="preserve">“</w:t>
      </w:r>
      <w:r>
        <w:t xml:space="preserve">proposed definition of</w:t>
      </w:r>
      <w:r>
        <w:t xml:space="preserve"> </w:t>
      </w:r>
      <w:r>
        <w:t xml:space="preserve">‘</w:t>
      </w:r>
      <w:r>
        <w:t xml:space="preserve">critical infrastructure</w:t>
      </w:r>
      <w:r>
        <w:t xml:space="preserve">’</w:t>
      </w:r>
      <w:r>
        <w:t xml:space="preserve"> </w:t>
      </w:r>
      <w:r>
        <w:t xml:space="preserve">fails to comply with the D.C. Circuit’s binding decision in</w:t>
      </w:r>
      <w:r>
        <w:t xml:space="preserve"> </w:t>
      </w:r>
      <w:r>
        <w:rPr>
          <w:i/>
        </w:rPr>
        <w:t xml:space="preserve">Hikvision v. FCC</w:t>
      </w:r>
      <w:r>
        <w:t xml:space="preserve">”</w:t>
      </w:r>
      <w:r>
        <w:t xml:space="preserve"> </w:t>
      </w:r>
      <w:r>
        <w:t xml:space="preserve">and that the definition must</w:t>
      </w:r>
      <w:r>
        <w:t xml:space="preserve"> </w:t>
      </w:r>
      <w:r>
        <w:t xml:space="preserve">“</w:t>
      </w:r>
      <w:r>
        <w:t xml:space="preserve">cover only infrastructure that is actually critical, rather than merely</w:t>
      </w:r>
      <w:r>
        <w:t xml:space="preserve"> </w:t>
      </w:r>
      <w:r>
        <w:t xml:space="preserve">‘</w:t>
      </w:r>
      <w:r>
        <w:t xml:space="preserve">connected to</w:t>
      </w:r>
      <w:r>
        <w:t xml:space="preserve">’</w:t>
      </w:r>
      <w:r>
        <w:t xml:space="preserve"> </w:t>
      </w:r>
      <w:r>
        <w:t xml:space="preserve">sixteen broad sectors of the economy.</w:t>
      </w:r>
      <w:r>
        <w:t xml:space="preserve">”</w:t>
      </w:r>
      <w:r>
        <w:t xml:space="preserve"> </w:t>
      </w:r>
      <w:r>
        <w:t xml:space="preserve">Hikvision Comments at 1. Hikvision further argues the Commission must</w:t>
      </w:r>
      <w:r>
        <w:t xml:space="preserve"> </w:t>
      </w:r>
      <w:r>
        <w:t xml:space="preserve">“</w:t>
      </w:r>
      <w:r>
        <w:t xml:space="preserve">[p]rovide</w:t>
      </w:r>
      <w:r>
        <w:t xml:space="preserve"> </w:t>
      </w:r>
      <w:r>
        <w:t xml:space="preserve">‘</w:t>
      </w:r>
      <w:r>
        <w:t xml:space="preserve">comprehensible guidance</w:t>
      </w:r>
      <w:r>
        <w:t xml:space="preserve">’</w:t>
      </w:r>
      <w:r>
        <w:t xml:space="preserve"> </w:t>
      </w:r>
      <w:r>
        <w:t xml:space="preserve">as to the scope of</w:t>
      </w:r>
      <w:r>
        <w:t xml:space="preserve"> </w:t>
      </w:r>
      <w:r>
        <w:t xml:space="preserve">‘</w:t>
      </w:r>
      <w:r>
        <w:t xml:space="preserve">critical infrastructure.</w:t>
      </w:r>
      <w:r>
        <w:t xml:space="preserve">’</w:t>
      </w:r>
      <w:r>
        <w:t xml:space="preserve">”</w:t>
      </w:r>
      <w:r>
        <w:t xml:space="preserve"> </w:t>
      </w:r>
      <w:r>
        <w:t xml:space="preserve">Hikvision Comments at 1.</w:t>
      </w:r>
    </w:p>
    <w:p>
      <w:pPr>
        <w:pStyle w:val="BodyText"/>
      </w:pPr>
      <w:r>
        <w:rPr>
          <w:b/>
        </w:rPr>
        <w:t xml:space="preserve">Hikvision Reply</w:t>
      </w:r>
      <w:r>
        <w:t xml:space="preserve"> </w:t>
      </w:r>
      <w:r>
        <w:t xml:space="preserve">contends that</w:t>
      </w:r>
      <w:r>
        <w:t xml:space="preserve"> </w:t>
      </w:r>
      <w:r>
        <w:t xml:space="preserve">“</w:t>
      </w:r>
      <w:r>
        <w:t xml:space="preserve">[c]omments representing broad swaths of U.S. communications and technology infrastructure conclude that</w:t>
      </w:r>
      <w:r>
        <w:t xml:space="preserve">”</w:t>
      </w:r>
      <w:r>
        <w:t xml:space="preserve"> </w:t>
      </w:r>
      <w:r>
        <w:t xml:space="preserve">the proposed definition extending to anything</w:t>
      </w:r>
      <w:r>
        <w:t xml:space="preserve"> </w:t>
      </w:r>
      <w:r>
        <w:t xml:space="preserve">“</w:t>
      </w:r>
      <w:r>
        <w:t xml:space="preserve">used in</w:t>
      </w:r>
      <w:r>
        <w:t xml:space="preserve">”</w:t>
      </w:r>
      <w:r>
        <w:t xml:space="preserve"> </w:t>
      </w:r>
      <w:r>
        <w:t xml:space="preserve">the 16 sectors</w:t>
      </w:r>
      <w:r>
        <w:t xml:space="preserve"> </w:t>
      </w:r>
      <w:r>
        <w:t xml:space="preserve">“</w:t>
      </w:r>
      <w:r>
        <w:t xml:space="preserve">violates the Secure Equipment Act and the John McCain National Defense Authorization Act, as well as the D.C. Circuit’s decision in</w:t>
      </w:r>
      <w:r>
        <w:t xml:space="preserve"> </w:t>
      </w:r>
      <w:r>
        <w:rPr>
          <w:i/>
        </w:rPr>
        <w:t xml:space="preserve">Hikvision USA v. FCC</w:t>
      </w:r>
      <w:r>
        <w:t xml:space="preserve">.</w:t>
      </w:r>
      <w:r>
        <w:t xml:space="preserve">”</w:t>
      </w:r>
      <w:r>
        <w:t xml:space="preserve"> </w:t>
      </w:r>
      <w:r>
        <w:t xml:space="preserve">Hikvision Reply at i.</w:t>
      </w:r>
    </w:p>
    <w:p>
      <w:pPr>
        <w:pStyle w:val="BodyText"/>
      </w:pPr>
      <w:r>
        <w:rPr>
          <w:b/>
        </w:rPr>
        <w:t xml:space="preserve">CRF</w:t>
      </w:r>
      <w:r>
        <w:t xml:space="preserve"> </w:t>
      </w:r>
      <w:r>
        <w:t xml:space="preserve">argues that</w:t>
      </w:r>
      <w:r>
        <w:t xml:space="preserve"> </w:t>
      </w:r>
      <w:r>
        <w:t xml:space="preserve">“</w:t>
      </w:r>
      <w:r>
        <w:t xml:space="preserve">overinclusive definitions . . . dilute enforcement focus</w:t>
      </w:r>
      <w:r>
        <w:t xml:space="preserve">”</w:t>
      </w:r>
      <w:r>
        <w:t xml:space="preserve"> </w:t>
      </w:r>
      <w:r>
        <w:t xml:space="preserve">because</w:t>
      </w:r>
      <w:r>
        <w:t xml:space="preserve"> </w:t>
      </w:r>
      <w:r>
        <w:t xml:space="preserve">“</w:t>
      </w:r>
      <w:r>
        <w:t xml:space="preserve">[t]reating too many systems as critical forces regulators to spread attention, resources, and oversight across a broad field, reducing the intensity and effectiveness of security where it matters most.</w:t>
      </w:r>
      <w:r>
        <w:t xml:space="preserve">”</w:t>
      </w:r>
      <w:r>
        <w:t xml:space="preserve"> </w:t>
      </w:r>
      <w:r>
        <w:t xml:space="preserve">CRF Comments at 8.</w:t>
      </w:r>
    </w:p>
    <w:p>
      <w:pPr>
        <w:pStyle w:val="BodyText"/>
      </w:pPr>
      <w:r>
        <w:rPr>
          <w:b/>
        </w:rPr>
        <w:t xml:space="preserve">NCTA</w:t>
      </w:r>
      <w:r>
        <w:t xml:space="preserve"> </w:t>
      </w:r>
      <w:r>
        <w:t xml:space="preserve">warns that</w:t>
      </w:r>
      <w:r>
        <w:t xml:space="preserve"> </w:t>
      </w:r>
      <w:r>
        <w:t xml:space="preserve">“</w:t>
      </w:r>
      <w:r>
        <w:t xml:space="preserve">an independent FCC interpretation of</w:t>
      </w:r>
      <w:r>
        <w:t xml:space="preserve"> </w:t>
      </w:r>
      <w:r>
        <w:t xml:space="preserve">‘</w:t>
      </w:r>
      <w:r>
        <w:t xml:space="preserve">critical infrastructure</w:t>
      </w:r>
      <w:r>
        <w:t xml:space="preserve">’</w:t>
      </w:r>
      <w:r>
        <w:t xml:space="preserve"> </w:t>
      </w:r>
      <w:r>
        <w:t xml:space="preserve">could inadvertently reintroduce the overbreadth the remand aims to address.</w:t>
      </w:r>
      <w:r>
        <w:t xml:space="preserve">”</w:t>
      </w:r>
      <w:r>
        <w:t xml:space="preserve"> </w:t>
      </w:r>
      <w:r>
        <w:t xml:space="preserve">NCTA Reply at 9.</w:t>
      </w:r>
    </w:p>
    <w:p>
      <w:pPr>
        <w:pStyle w:val="Heading3"/>
      </w:pPr>
      <w:bookmarkStart w:id="41" w:name="c.-support-for-broader-implementation"/>
      <w:r>
        <w:t xml:space="preserve">C. Support for Broader Implementation</w:t>
      </w:r>
      <w:bookmarkEnd w:id="41"/>
    </w:p>
    <w:p>
      <w:pPr>
        <w:pStyle w:val="FirstParagraph"/>
      </w:pPr>
      <w:r>
        <w:t xml:space="preserve">A minority of commenters support the Commission’s broader interpretation.</w:t>
      </w:r>
    </w:p>
    <w:p>
      <w:pPr>
        <w:pStyle w:val="BodyText"/>
      </w:pPr>
      <w:r>
        <w:rPr>
          <w:b/>
        </w:rPr>
        <w:t xml:space="preserve">MSI</w:t>
      </w:r>
      <w:r>
        <w:t xml:space="preserve"> </w:t>
      </w:r>
      <w:r>
        <w:t xml:space="preserve">argues that</w:t>
      </w:r>
      <w:r>
        <w:t xml:space="preserve"> </w:t>
      </w:r>
      <w:r>
        <w:t xml:space="preserve">“</w:t>
      </w:r>
      <w:r>
        <w:t xml:space="preserve">the FNPRM proposes a definition based on other government sources plus guidance implementing it to cover</w:t>
      </w:r>
      <w:r>
        <w:t xml:space="preserve"> </w:t>
      </w:r>
      <w:r>
        <w:t xml:space="preserve">‘</w:t>
      </w:r>
      <w:r>
        <w:t xml:space="preserve">not just equipment that is, by itself, critical infrastructure, but also equipment used to provide critical services or functions that may be the source of significant network security vulnerabilities.</w:t>
      </w:r>
      <w:r>
        <w:t xml:space="preserve">’</w:t>
      </w:r>
      <w:r>
        <w:t xml:space="preserve">”</w:t>
      </w:r>
      <w:r>
        <w:t xml:space="preserve"> </w:t>
      </w:r>
      <w:r>
        <w:t xml:space="preserve">MSI Reply at 5. MSI contends that</w:t>
      </w:r>
      <w:r>
        <w:t xml:space="preserve"> </w:t>
      </w:r>
      <w:r>
        <w:t xml:space="preserve">“</w:t>
      </w:r>
      <w:r>
        <w:t xml:space="preserve">anything less than the proposed definition and this accompanying interpretation would leave key gaps in the Commission’s efforts to protect U.S. networks</w:t>
      </w:r>
      <w:r>
        <w:t xml:space="preserve">”</w:t>
      </w:r>
      <w:r>
        <w:t xml:space="preserve"> </w:t>
      </w:r>
      <w:r>
        <w:t xml:space="preserve">because</w:t>
      </w:r>
      <w:r>
        <w:t xml:space="preserve"> </w:t>
      </w:r>
      <w:r>
        <w:t xml:space="preserve">“</w:t>
      </w:r>
      <w:r>
        <w:t xml:space="preserve">[n]etwork equipment is, by definition, interconnected, and network equipment that is interconnected with critical infrastructure cannot be left unsecured.</w:t>
      </w:r>
      <w:r>
        <w:t xml:space="preserve">”</w:t>
      </w:r>
      <w:r>
        <w:t xml:space="preserve"> </w:t>
      </w:r>
      <w:r>
        <w:t xml:space="preserve">MSI Reply at 5.</w:t>
      </w:r>
    </w:p>
    <w:p>
      <w:pPr>
        <w:pStyle w:val="BodyText"/>
      </w:pPr>
      <w:r>
        <w:rPr>
          <w:b/>
        </w:rPr>
        <w:t xml:space="preserve">FDD</w:t>
      </w:r>
      <w:r>
        <w:t xml:space="preserve"> </w:t>
      </w:r>
      <w:r>
        <w:t xml:space="preserve">suggests the Commission</w:t>
      </w:r>
      <w:r>
        <w:t xml:space="preserve"> </w:t>
      </w:r>
      <w:r>
        <w:t xml:space="preserve">“</w:t>
      </w:r>
      <w:r>
        <w:t xml:space="preserve">should also consider how this definition will apply to distributed systems, which in the aggregate may serve as critical infrastructure, such as local broadcast networks.</w:t>
      </w:r>
      <w:r>
        <w:t xml:space="preserve">”</w:t>
      </w:r>
      <w:r>
        <w:t xml:space="preserve"> </w:t>
      </w:r>
      <w:r>
        <w:t xml:space="preserve">FDD Comments at 2.</w:t>
      </w:r>
    </w:p>
    <w:p>
      <w:pPr>
        <w:pStyle w:val="Heading3"/>
      </w:pPr>
      <w:bookmarkStart w:id="42" w:name="d.-hikvisions-alternative-definition"/>
      <w:r>
        <w:t xml:space="preserve">D. Hikvision’s Alternative Definition</w:t>
      </w:r>
      <w:bookmarkEnd w:id="42"/>
    </w:p>
    <w:p>
      <w:pPr>
        <w:pStyle w:val="FirstParagraph"/>
      </w:pPr>
      <w:r>
        <w:t xml:space="preserve">Hikvision proposes a narrower definition in which critical infrastructure</w:t>
      </w:r>
      <w:r>
        <w:t xml:space="preserve"> </w:t>
      </w:r>
      <w:r>
        <w:t xml:space="preserve">“</w:t>
      </w:r>
      <w:r>
        <w:t xml:space="preserve">should mean</w:t>
      </w:r>
      <w:r>
        <w:t xml:space="preserve"> </w:t>
      </w:r>
      <w:r>
        <w:t xml:space="preserve">‘</w:t>
      </w:r>
      <w:r>
        <w:t xml:space="preserve">infrastructure that provides essential services to American society</w:t>
      </w:r>
      <w:r>
        <w:t xml:space="preserve">’</w:t>
      </w:r>
      <w:r>
        <w:t xml:space="preserve">”</w:t>
      </w:r>
      <w:r>
        <w:t xml:space="preserve"> </w:t>
      </w:r>
      <w:r>
        <w:t xml:space="preserve">and should include</w:t>
      </w:r>
      <w:r>
        <w:t xml:space="preserve"> </w:t>
      </w:r>
      <w:r>
        <w:t xml:space="preserve">“</w:t>
      </w:r>
      <w:r>
        <w:t xml:space="preserve">only such systems and assets—governmental and private—that are so vital to the United States that individually incapacitating or destroying those systems and assets would have a debilitating impact on national security, national economic security, and/or national public health or safety.’</w:t>
      </w:r>
      <w:r>
        <w:t xml:space="preserve">”</w:t>
      </w:r>
      <w:r>
        <w:t xml:space="preserve"> </w:t>
      </w:r>
      <w:r>
        <w:t xml:space="preserve">Hikvision Comments at 3 (citing April Compliance Plan at 7). Hikvision provides</w:t>
      </w:r>
      <w:r>
        <w:t xml:space="preserve"> </w:t>
      </w:r>
      <w:r>
        <w:t xml:space="preserve">“</w:t>
      </w:r>
      <w:r>
        <w:t xml:space="preserve">a finite list of 10 systems and assets—across multiple sectors—to define the bounds of critical infrastructure.</w:t>
      </w:r>
      <w:r>
        <w:t xml:space="preserve">”</w:t>
      </w:r>
      <w:r>
        <w:t xml:space="preserve"> </w:t>
      </w:r>
      <w:r>
        <w:t xml:space="preserve">Hikvision Comments at 3.</w:t>
      </w:r>
    </w:p>
    <w:p>
      <w:pPr>
        <w:pStyle w:val="BodyText"/>
      </w:pPr>
      <w:r>
        <w:t xml:space="preserve">The Commission in the FNPRM</w:t>
      </w:r>
      <w:r>
        <w:t xml:space="preserve"> </w:t>
      </w:r>
      <w:r>
        <w:t xml:space="preserve">“</w:t>
      </w:r>
      <w:r>
        <w:t xml:space="preserve">tentatively conclude[s] that Hikvision USA’s approach—which narrows the scope of the Patriot Act definition—leaves open gaps ripe for exploitation.</w:t>
      </w:r>
      <w:r>
        <w:t xml:space="preserve">”</w:t>
      </w:r>
      <w:r>
        <w:t xml:space="preserve"> </w:t>
      </w:r>
      <w:r>
        <w:t xml:space="preserve">¶ 80.</w:t>
      </w:r>
      <w:r>
        <w:t xml:space="preserve"> </w:t>
      </w:r>
      <w:r>
        <w:rPr>
          <w:b/>
        </w:rPr>
        <w:t xml:space="preserve">MSI</w:t>
      </w:r>
      <w:r>
        <w:t xml:space="preserve"> </w:t>
      </w:r>
      <w:r>
        <w:t xml:space="preserve">agrees, stating that Hikvision’s definition would</w:t>
      </w:r>
      <w:r>
        <w:t xml:space="preserve"> </w:t>
      </w:r>
      <w:r>
        <w:t xml:space="preserve">“</w:t>
      </w:r>
      <w:r>
        <w:t xml:space="preserve">leave[] open gaps ripe for exploitation</w:t>
      </w:r>
      <w:r>
        <w:t xml:space="preserve">”</w:t>
      </w:r>
      <w:r>
        <w:t xml:space="preserve"> </w:t>
      </w:r>
      <w:r>
        <w:t xml:space="preserve">and</w:t>
      </w:r>
      <w:r>
        <w:t xml:space="preserve"> </w:t>
      </w:r>
      <w:r>
        <w:t xml:space="preserve">“</w:t>
      </w:r>
      <w:r>
        <w:t xml:space="preserve">ignores the vulnerabilities associated with various access points within our communications networks.</w:t>
      </w:r>
      <w:r>
        <w:t xml:space="preserve">”</w:t>
      </w:r>
      <w:r>
        <w:t xml:space="preserve"> </w:t>
      </w:r>
      <w:r>
        <w:t xml:space="preserve">MSI Reply at 4.</w:t>
      </w:r>
    </w:p>
    <w:p>
      <w:pPr>
        <w:pStyle w:val="Heading3"/>
      </w:pPr>
      <w:bookmarkStart w:id="43" w:name="e.-scope-of-security-in-the-definition"/>
      <w:r>
        <w:t xml:space="preserve">E. Scope of</w:t>
      </w:r>
      <w:r>
        <w:t xml:space="preserve"> </w:t>
      </w:r>
      <w:r>
        <w:t xml:space="preserve">“</w:t>
      </w:r>
      <w:r>
        <w:t xml:space="preserve">Security</w:t>
      </w:r>
      <w:r>
        <w:t xml:space="preserve">”</w:t>
      </w:r>
      <w:r>
        <w:t xml:space="preserve"> </w:t>
      </w:r>
      <w:r>
        <w:t xml:space="preserve">in the Definition</w:t>
      </w:r>
      <w:bookmarkEnd w:id="43"/>
    </w:p>
    <w:p>
      <w:pPr>
        <w:pStyle w:val="FirstParagraph"/>
      </w:pPr>
      <w:r>
        <w:rPr>
          <w:b/>
        </w:rPr>
        <w:t xml:space="preserve">NCTA</w:t>
      </w:r>
      <w:r>
        <w:t xml:space="preserve"> </w:t>
      </w:r>
      <w:r>
        <w:t xml:space="preserve">argues that</w:t>
      </w:r>
      <w:r>
        <w:t xml:space="preserve"> </w:t>
      </w:r>
      <w:r>
        <w:t xml:space="preserve">“</w:t>
      </w:r>
      <w:r>
        <w:t xml:space="preserve">the reference to</w:t>
      </w:r>
      <w:r>
        <w:t xml:space="preserve"> </w:t>
      </w:r>
      <w:r>
        <w:t xml:space="preserve">‘</w:t>
      </w:r>
      <w:r>
        <w:t xml:space="preserve">security</w:t>
      </w:r>
      <w:r>
        <w:t xml:space="preserve">’</w:t>
      </w:r>
      <w:r>
        <w:t xml:space="preserve"> </w:t>
      </w:r>
      <w:r>
        <w:t xml:space="preserve">within the critical infrastructure definition must be interpreted to mean national security,</w:t>
      </w:r>
      <w:r>
        <w:t xml:space="preserve">”</w:t>
      </w:r>
      <w:r>
        <w:t xml:space="preserve"> </w:t>
      </w:r>
      <w:r>
        <w:t xml:space="preserve">which</w:t>
      </w:r>
      <w:r>
        <w:t xml:space="preserve"> </w:t>
      </w:r>
      <w:r>
        <w:t xml:space="preserve">“</w:t>
      </w:r>
      <w:r>
        <w:t xml:space="preserve">aligns with prevailing applications by national security agencies and comports with other aspects of the definition tied to national interests.</w:t>
      </w:r>
      <w:r>
        <w:t xml:space="preserve">”</w:t>
      </w:r>
      <w:r>
        <w:t xml:space="preserve"> </w:t>
      </w:r>
      <w:r>
        <w:t xml:space="preserve">NCTA Reply at 9.</w:t>
      </w:r>
    </w:p>
    <w:p>
      <w:r>
        <w:pict>
          <v:rect style="width:0;height:1.5pt" o:hralign="center" o:hrstd="t" o:hr="t"/>
        </w:pict>
      </w:r>
    </w:p>
    <w:p>
      <w:pPr>
        <w:pStyle w:val="Heading2"/>
      </w:pPr>
      <w:bookmarkStart w:id="44" w:name="X7d61f936e8289b6a31e2bf11ce47596a7182dd8"/>
      <w:r>
        <w:t xml:space="preserve">III. MODIFICATIONS TO AUTHORIZED EQUIPMENT PRODUCED BY AN ENTITY IDENTIFIED ON THE COVERED LIST (¶¶ 81–83)</w:t>
      </w:r>
      <w:bookmarkEnd w:id="44"/>
    </w:p>
    <w:p>
      <w:pPr>
        <w:pStyle w:val="FirstParagraph"/>
      </w:pPr>
      <w:r>
        <w:t xml:space="preserve">The Commission proposes to require submission of a certification for any equipment for which an entity identified on the Covered List seeks modification or a permissive change.</w:t>
      </w:r>
    </w:p>
    <w:p>
      <w:pPr>
        <w:pStyle w:val="Heading3"/>
      </w:pPr>
      <w:bookmarkStart w:id="45" w:name="a.-support-for-requiring-recertification"/>
      <w:r>
        <w:t xml:space="preserve">A. Support for Requiring Recertification</w:t>
      </w:r>
      <w:bookmarkEnd w:id="45"/>
    </w:p>
    <w:p>
      <w:pPr>
        <w:pStyle w:val="FirstParagraph"/>
      </w:pPr>
      <w:r>
        <w:rPr>
          <w:b/>
        </w:rPr>
        <w:t xml:space="preserve">FDD</w:t>
      </w:r>
      <w:r>
        <w:t xml:space="preserve"> </w:t>
      </w:r>
      <w:r>
        <w:t xml:space="preserve">supports this proposal, recommending that</w:t>
      </w:r>
      <w:r>
        <w:t xml:space="preserve"> </w:t>
      </w:r>
      <w:r>
        <w:t xml:space="preserve">“</w:t>
      </w:r>
      <w:r>
        <w:t xml:space="preserve">the Commission should require that any authorized device that is modified by an entity identified on the Covered List be recertified</w:t>
      </w:r>
      <w:r>
        <w:t xml:space="preserve">”</w:t>
      </w:r>
      <w:r>
        <w:t xml:space="preserve"> </w:t>
      </w:r>
      <w:r>
        <w:t xml:space="preserve">through</w:t>
      </w:r>
      <w:r>
        <w:t xml:space="preserve"> </w:t>
      </w:r>
      <w:r>
        <w:t xml:space="preserve">“</w:t>
      </w:r>
      <w:r>
        <w:t xml:space="preserve">the full certification process.</w:t>
      </w:r>
      <w:r>
        <w:t xml:space="preserve">”</w:t>
      </w:r>
      <w:r>
        <w:t xml:space="preserve"> </w:t>
      </w:r>
      <w:r>
        <w:t xml:space="preserve">FDD Comments at 1–2. FDD argues this</w:t>
      </w:r>
      <w:r>
        <w:t xml:space="preserve"> </w:t>
      </w:r>
      <w:r>
        <w:t xml:space="preserve">“</w:t>
      </w:r>
      <w:r>
        <w:t xml:space="preserve">would prevent any entity currently on the Covered List from modifying previously authorized equipment in ways that might introduce new vulnerabilities following purchase or installation.</w:t>
      </w:r>
      <w:r>
        <w:t xml:space="preserve">”</w:t>
      </w:r>
      <w:r>
        <w:t xml:space="preserve"> </w:t>
      </w:r>
      <w:r>
        <w:t xml:space="preserve">FDD Comments at 2.</w:t>
      </w:r>
    </w:p>
    <w:p>
      <w:pPr>
        <w:pStyle w:val="Heading3"/>
      </w:pPr>
      <w:bookmarkStart w:id="46" w:name="Xec9518da26c306c170acb46330a3e7c92e714a4"/>
      <w:r>
        <w:t xml:space="preserve">B. Opposition to Blanket Prohibition on Permissive Changes</w:t>
      </w:r>
      <w:bookmarkEnd w:id="46"/>
    </w:p>
    <w:p>
      <w:pPr>
        <w:pStyle w:val="FirstParagraph"/>
      </w:pPr>
      <w:r>
        <w:rPr>
          <w:b/>
        </w:rPr>
        <w:t xml:space="preserve">DJI</w:t>
      </w:r>
      <w:r>
        <w:t xml:space="preserve"> </w:t>
      </w:r>
      <w:r>
        <w:t xml:space="preserve">contends that existing rules under</w:t>
      </w:r>
      <w:r>
        <w:t xml:space="preserve"> </w:t>
      </w:r>
      <w:r>
        <w:t xml:space="preserve">“</w:t>
      </w:r>
      <w:r>
        <w:t xml:space="preserve">47 CFR § 2.1043 (Changes in certified equipment)</w:t>
      </w:r>
      <w:r>
        <w:t xml:space="preserve">”</w:t>
      </w:r>
      <w:r>
        <w:t xml:space="preserve"> </w:t>
      </w:r>
      <w:r>
        <w:t xml:space="preserve">already</w:t>
      </w:r>
      <w:r>
        <w:t xml:space="preserve"> </w:t>
      </w:r>
      <w:r>
        <w:t xml:space="preserve">“</w:t>
      </w:r>
      <w:r>
        <w:t xml:space="preserve">require testing and affirmative or negative statements as to whether the applicant is identified on the Covered List</w:t>
      </w:r>
      <w:r>
        <w:t xml:space="preserve">”</w:t>
      </w:r>
      <w:r>
        <w:t xml:space="preserve"> </w:t>
      </w:r>
      <w:r>
        <w:t xml:space="preserve">and that</w:t>
      </w:r>
      <w:r>
        <w:t xml:space="preserve"> </w:t>
      </w:r>
      <w:r>
        <w:t xml:space="preserve">“</w:t>
      </w:r>
      <w:r>
        <w:t xml:space="preserve">[t]hese testing requirements should provide the FCC any necessary information it needs to determine whether a permissive change or modification poses</w:t>
      </w:r>
      <w:r>
        <w:t xml:space="preserve"> </w:t>
      </w:r>
      <w:r>
        <w:t xml:space="preserve">‘</w:t>
      </w:r>
      <w:r>
        <w:t xml:space="preserve">an unacceptable risk to national security</w:t>
      </w:r>
      <w:r>
        <w:t xml:space="preserve">’</w:t>
      </w:r>
      <w:r>
        <w:t xml:space="preserve"> </w:t>
      </w:r>
      <w:r>
        <w:t xml:space="preserve">on a case-by-case basis, rendering a blanket prohibition . . . unnecessary.</w:t>
      </w:r>
      <w:r>
        <w:t xml:space="preserve">”</w:t>
      </w:r>
      <w:r>
        <w:t xml:space="preserve"> </w:t>
      </w:r>
      <w:r>
        <w:t xml:space="preserve">DJI Comments at 1. DJI warns that</w:t>
      </w:r>
      <w:r>
        <w:t xml:space="preserve"> </w:t>
      </w:r>
      <w:r>
        <w:t xml:space="preserve">“</w:t>
      </w:r>
      <w:r>
        <w:t xml:space="preserve">[f]irmware updates are frequently issued to strengthen data security and for important safety updates</w:t>
      </w:r>
      <w:r>
        <w:t xml:space="preserve">”</w:t>
      </w:r>
      <w:r>
        <w:t xml:space="preserve"> </w:t>
      </w:r>
      <w:r>
        <w:t xml:space="preserve">and that</w:t>
      </w:r>
      <w:r>
        <w:t xml:space="preserve"> </w:t>
      </w:r>
      <w:r>
        <w:t xml:space="preserve">“</w:t>
      </w:r>
      <w:r>
        <w:t xml:space="preserve">[a] blanket prohibition could prevent end users from making the necessary updates, making the equipment and U.S. airspace less safe.</w:t>
      </w:r>
      <w:r>
        <w:t xml:space="preserve">”</w:t>
      </w:r>
      <w:r>
        <w:t xml:space="preserve"> </w:t>
      </w:r>
      <w:r>
        <w:t xml:space="preserve">DJI Comments at 1. DJI emphasizes that</w:t>
      </w:r>
      <w:r>
        <w:t xml:space="preserve"> </w:t>
      </w:r>
      <w:r>
        <w:t xml:space="preserve">“</w:t>
      </w:r>
      <w:r>
        <w:t xml:space="preserve">[a]uthorized DJI products are imperative to law enforcement, public safety, small business owners, farmers, and others</w:t>
      </w:r>
      <w:r>
        <w:t xml:space="preserve">”</w:t>
      </w:r>
      <w:r>
        <w:t xml:space="preserve"> </w:t>
      </w:r>
      <w:r>
        <w:t xml:space="preserve">and cites</w:t>
      </w:r>
      <w:r>
        <w:t xml:space="preserve"> </w:t>
      </w:r>
      <w:r>
        <w:t xml:space="preserve">“</w:t>
      </w:r>
      <w:r>
        <w:t xml:space="preserve">an independent 2023 economic impact analysis [finding] that DJI enables more than $116 billion in economic activity across the U.S. and supports more than 450,000 American jobs.</w:t>
      </w:r>
      <w:r>
        <w:t xml:space="preserve">”</w:t>
      </w:r>
      <w:r>
        <w:t xml:space="preserve"> </w:t>
      </w:r>
      <w:r>
        <w:t xml:space="preserve">DJI Comments at 1.</w:t>
      </w:r>
    </w:p>
    <w:p>
      <w:pPr>
        <w:pStyle w:val="BodyText"/>
      </w:pPr>
      <w:r>
        <w:rPr>
          <w:b/>
        </w:rPr>
        <w:t xml:space="preserve">MEMA</w:t>
      </w:r>
      <w:r>
        <w:t xml:space="preserve"> </w:t>
      </w:r>
      <w:r>
        <w:t xml:space="preserve">raises concerns that</w:t>
      </w:r>
      <w:r>
        <w:t xml:space="preserve"> </w:t>
      </w:r>
      <w:r>
        <w:t xml:space="preserve">“</w:t>
      </w:r>
      <w:r>
        <w:t xml:space="preserve">any regulatory framework that delays or conditions OTA updates on renewed authorization risk potentially conflicts with . . . safety and cybersecurity expectations and potentially increases risk to consumers.</w:t>
      </w:r>
      <w:r>
        <w:t xml:space="preserve">”</w:t>
      </w:r>
      <w:r>
        <w:t xml:space="preserve"> </w:t>
      </w:r>
      <w:r>
        <w:t xml:space="preserve">MEMA Comments at 2. MEMA notes that</w:t>
      </w:r>
      <w:r>
        <w:t xml:space="preserve"> </w:t>
      </w:r>
      <w:r>
        <w:t xml:space="preserve">“</w:t>
      </w:r>
      <w:r>
        <w:t xml:space="preserve">[v]ehicle suppliers also bear obligations to address safety defects and cybersecurity vulnerabilities through over-the-air (OTA) updates</w:t>
      </w:r>
      <w:r>
        <w:t xml:space="preserve">”</w:t>
      </w:r>
      <w:r>
        <w:t xml:space="preserve"> </w:t>
      </w:r>
      <w:r>
        <w:t xml:space="preserve">subject to NHTSA timelines and CISA guidance. MEMA Comments at 2.</w:t>
      </w:r>
    </w:p>
    <w:p>
      <w:pPr>
        <w:pStyle w:val="Heading3"/>
      </w:pPr>
      <w:bookmarkStart w:id="47" w:name="c.-maintenance-and-software-updates"/>
      <w:r>
        <w:t xml:space="preserve">C. Maintenance and Software Updates</w:t>
      </w:r>
      <w:bookmarkEnd w:id="47"/>
    </w:p>
    <w:p>
      <w:pPr>
        <w:pStyle w:val="FirstParagraph"/>
      </w:pPr>
      <w:r>
        <w:t xml:space="preserve">The record broadly supports ensuring that covered equipment already in the field can continue receiving necessary software, firmware, and security updates.</w:t>
      </w:r>
    </w:p>
    <w:p>
      <w:pPr>
        <w:pStyle w:val="BodyText"/>
      </w:pPr>
      <w:r>
        <w:rPr>
          <w:b/>
        </w:rPr>
        <w:t xml:space="preserve">TIA Reply</w:t>
      </w:r>
      <w:r>
        <w:t xml:space="preserve"> </w:t>
      </w:r>
      <w:r>
        <w:t xml:space="preserve">“</w:t>
      </w:r>
      <w:r>
        <w:t xml:space="preserve">strongly supports</w:t>
      </w:r>
      <w:r>
        <w:t xml:space="preserve">”</w:t>
      </w:r>
      <w:r>
        <w:t xml:space="preserve"> </w:t>
      </w:r>
      <w:r>
        <w:t xml:space="preserve">the Commission’s recent waiver of prohibitions on Class I permissive changes to Covered UAS and UAS Critical Components until January 1, 2027, allowing</w:t>
      </w:r>
      <w:r>
        <w:t xml:space="preserve"> </w:t>
      </w:r>
      <w:r>
        <w:t xml:space="preserve">“</w:t>
      </w:r>
      <w:r>
        <w:t xml:space="preserve">software, firmware, and security updates to mitigate harm to U.S. consumers.</w:t>
      </w:r>
      <w:r>
        <w:t xml:space="preserve">”</w:t>
      </w:r>
      <w:r>
        <w:t xml:space="preserve"> </w:t>
      </w:r>
      <w:r>
        <w:t xml:space="preserve">TIA Reply at 4. TIA</w:t>
      </w:r>
      <w:r>
        <w:t xml:space="preserve"> </w:t>
      </w:r>
      <w:r>
        <w:t xml:space="preserve">“</w:t>
      </w:r>
      <w:r>
        <w:t xml:space="preserve">urges the Commission to adopt this approach as a general matter in any future Covered List prohibitions, absent specific determinations that continued maintenance poses an unacceptable threat.</w:t>
      </w:r>
      <w:r>
        <w:t xml:space="preserve">”</w:t>
      </w:r>
      <w:r>
        <w:t xml:space="preserve"> </w:t>
      </w:r>
      <w:r>
        <w:t xml:space="preserve">TIA Reply at 4.</w:t>
      </w:r>
    </w:p>
    <w:p>
      <w:pPr>
        <w:pStyle w:val="BodyText"/>
      </w:pPr>
      <w:r>
        <w:rPr>
          <w:b/>
        </w:rPr>
        <w:t xml:space="preserve">NCTA</w:t>
      </w:r>
      <w:r>
        <w:t xml:space="preserve"> </w:t>
      </w:r>
      <w:r>
        <w:t xml:space="preserve">agrees that</w:t>
      </w:r>
      <w:r>
        <w:t xml:space="preserve"> </w:t>
      </w:r>
      <w:r>
        <w:t xml:space="preserve">“</w:t>
      </w:r>
      <w:r>
        <w:t xml:space="preserve">ensuring predictable support for products already in the market, including continued software, firmware, and security updates</w:t>
      </w:r>
      <w:r>
        <w:t xml:space="preserve">”</w:t>
      </w:r>
      <w:r>
        <w:t xml:space="preserve"> </w:t>
      </w:r>
      <w:r>
        <w:t xml:space="preserve">is crucial,</w:t>
      </w:r>
      <w:r>
        <w:t xml:space="preserve"> </w:t>
      </w:r>
      <w:r>
        <w:t xml:space="preserve">“</w:t>
      </w:r>
      <w:r>
        <w:t xml:space="preserve">consistent with the Second Order’s aim to adopt an approach</w:t>
      </w:r>
      <w:r>
        <w:t xml:space="preserve"> </w:t>
      </w:r>
      <w:r>
        <w:t xml:space="preserve">‘</w:t>
      </w:r>
      <w:r>
        <w:t xml:space="preserve">that would not affect consumers</w:t>
      </w:r>
      <w:r>
        <w:t xml:space="preserve">’</w:t>
      </w:r>
      <w:r>
        <w:t xml:space="preserve"> </w:t>
      </w:r>
      <w:r>
        <w:t xml:space="preserve">continued use or operation of devices they already possess.’</w:t>
      </w:r>
      <w:r>
        <w:t xml:space="preserve">”</w:t>
      </w:r>
      <w:r>
        <w:t xml:space="preserve"> </w:t>
      </w:r>
      <w:r>
        <w:t xml:space="preserve">NCTA Reply at 6.</w:t>
      </w:r>
    </w:p>
    <w:p>
      <w:pPr>
        <w:pStyle w:val="BodyText"/>
      </w:pPr>
      <w:r>
        <w:rPr>
          <w:b/>
        </w:rPr>
        <w:t xml:space="preserve">CTIA Reply</w:t>
      </w:r>
      <w:r>
        <w:t xml:space="preserve"> </w:t>
      </w:r>
      <w:r>
        <w:t xml:space="preserve">urges similar flexibility, emphasizing maintenance and updates to avoid service disruptions for U.S. consumers. CTIA Reply at 4.</w:t>
      </w:r>
    </w:p>
    <w:p>
      <w:r>
        <w:pict>
          <v:rect style="width:0;height:1.5pt" o:hralign="center" o:hrstd="t" o:hr="t"/>
        </w:pict>
      </w:r>
    </w:p>
    <w:p>
      <w:pPr>
        <w:pStyle w:val="Heading2"/>
      </w:pPr>
      <w:bookmarkStart w:id="48" w:name="X2b0aa0f09b3069fad3d8b7e86db69e22fc66bb0"/>
      <w:r>
        <w:t xml:space="preserve">IV. CLARIFICATION OF</w:t>
      </w:r>
      <w:r>
        <w:t xml:space="preserve"> </w:t>
      </w:r>
      <w:r>
        <w:t xml:space="preserve">“</w:t>
      </w:r>
      <w:r>
        <w:t xml:space="preserve">MARKETING</w:t>
      </w:r>
      <w:r>
        <w:t xml:space="preserve">”</w:t>
      </w:r>
      <w:r>
        <w:t xml:space="preserve"> </w:t>
      </w:r>
      <w:r>
        <w:t xml:space="preserve">ACTIVITIES (¶¶ 84–89)</w:t>
      </w:r>
      <w:bookmarkEnd w:id="48"/>
    </w:p>
    <w:p>
      <w:pPr>
        <w:pStyle w:val="FirstParagraph"/>
      </w:pPr>
      <w:r>
        <w:t xml:space="preserve">The Commission seeks comment on whether revisions to marketing rules could enable better enforcement, including clarification of</w:t>
      </w:r>
      <w:r>
        <w:t xml:space="preserve"> </w:t>
      </w:r>
      <w:r>
        <w:t xml:space="preserve">“</w:t>
      </w:r>
      <w:r>
        <w:t xml:space="preserve">distribution for the purpose of selling,</w:t>
      </w:r>
      <w:r>
        <w:t xml:space="preserve">”</w:t>
      </w:r>
      <w:r>
        <w:t xml:space="preserve"> </w:t>
      </w:r>
      <w:r>
        <w:t xml:space="preserve">the scope of marketing prohibitions for Covered List entities, and responsibility for ensuring compliance in the importation process.</w:t>
      </w:r>
    </w:p>
    <w:p>
      <w:pPr>
        <w:pStyle w:val="Heading3"/>
      </w:pPr>
      <w:bookmarkStart w:id="49" w:name="X2ffd650340e29144b040ba70368b5799895045d"/>
      <w:r>
        <w:t xml:space="preserve">A. Clarifying Marketing Rules and Distribution (¶¶ 85, 89)</w:t>
      </w:r>
      <w:bookmarkEnd w:id="49"/>
    </w:p>
    <w:p>
      <w:pPr>
        <w:pStyle w:val="FirstParagraph"/>
      </w:pPr>
      <w:r>
        <w:rPr>
          <w:b/>
        </w:rPr>
        <w:t xml:space="preserve">Sirius XM</w:t>
      </w:r>
      <w:r>
        <w:t xml:space="preserve"> </w:t>
      </w:r>
      <w:r>
        <w:t xml:space="preserve">strongly supports strengthening marketing rules and proposes specific rule language for Section 2.803(a) to include</w:t>
      </w:r>
      <w:r>
        <w:t xml:space="preserve"> </w:t>
      </w:r>
      <w:r>
        <w:t xml:space="preserve">“</w:t>
      </w:r>
      <w:r>
        <w:t xml:space="preserve">hosting solicitations for sale or lease on an online platform</w:t>
      </w:r>
      <w:r>
        <w:t xml:space="preserve">”</w:t>
      </w:r>
      <w:r>
        <w:t xml:space="preserve"> </w:t>
      </w:r>
      <w:r>
        <w:t xml:space="preserve">and</w:t>
      </w:r>
      <w:r>
        <w:t xml:space="preserve"> </w:t>
      </w:r>
      <w:r>
        <w:t xml:space="preserve">“</w:t>
      </w:r>
      <w:r>
        <w:t xml:space="preserve">directly or indirectly assisting of appearing to assist in the importation, shipment, or distribution.</w:t>
      </w:r>
      <w:r>
        <w:t xml:space="preserve">”</w:t>
      </w:r>
      <w:r>
        <w:t xml:space="preserve"> </w:t>
      </w:r>
      <w:r>
        <w:t xml:space="preserve">Sirius XM Comments at 7. Sirius XM argues that online platforms such as</w:t>
      </w:r>
      <w:r>
        <w:t xml:space="preserve"> </w:t>
      </w:r>
      <w:r>
        <w:t xml:space="preserve">“</w:t>
      </w:r>
      <w:r>
        <w:t xml:space="preserve">Amazon, eBay, and Alibaba bear responsibility for ensuring all products shown on their platforms . . . that require FCC equipment certification . . . are in fact FCC certified.</w:t>
      </w:r>
      <w:r>
        <w:t xml:space="preserve">”</w:t>
      </w:r>
      <w:r>
        <w:t xml:space="preserve"> </w:t>
      </w:r>
      <w:r>
        <w:t xml:space="preserve">Sirius XM Comments at 2. Sirius XM proposes a</w:t>
      </w:r>
      <w:r>
        <w:t xml:space="preserve"> </w:t>
      </w:r>
      <w:r>
        <w:t xml:space="preserve">“</w:t>
      </w:r>
      <w:r>
        <w:t xml:space="preserve">due diligence</w:t>
      </w:r>
      <w:r>
        <w:t xml:space="preserve">”</w:t>
      </w:r>
      <w:r>
        <w:t xml:space="preserve"> </w:t>
      </w:r>
      <w:r>
        <w:t xml:space="preserve">requirement for any party initially marketing a device. Sirius XM Comments at 7.</w:t>
      </w:r>
    </w:p>
    <w:p>
      <w:pPr>
        <w:pStyle w:val="BodyText"/>
      </w:pPr>
      <w:r>
        <w:rPr>
          <w:b/>
        </w:rPr>
        <w:t xml:space="preserve">CTIA</w:t>
      </w:r>
      <w:r>
        <w:t xml:space="preserve"> </w:t>
      </w:r>
      <w:r>
        <w:t xml:space="preserve">“</w:t>
      </w:r>
      <w:r>
        <w:t xml:space="preserve">appreciates [the] value in ensuring unauthorized equipment doesn’t enter market but recommends DECLINING new marketing and importation rules at this time due to scope and likely impact.</w:t>
      </w:r>
      <w:r>
        <w:t xml:space="preserve">”</w:t>
      </w:r>
      <w:r>
        <w:t xml:space="preserve"> </w:t>
      </w:r>
      <w:r>
        <w:t xml:space="preserve">CTIA Comments at 23.</w:t>
      </w:r>
    </w:p>
    <w:p>
      <w:pPr>
        <w:pStyle w:val="BodyText"/>
      </w:pPr>
      <w:r>
        <w:rPr>
          <w:b/>
        </w:rPr>
        <w:t xml:space="preserve">TIA Reply</w:t>
      </w:r>
      <w:r>
        <w:t xml:space="preserve"> </w:t>
      </w:r>
      <w:r>
        <w:t xml:space="preserve">“</w:t>
      </w:r>
      <w:r>
        <w:t xml:space="preserve">agrees with commenters that many of the changes to the Commission’s marketing rules proposed in the Second FNPRM could impose burdens on consumers and trusted manufacturers that outweigh potential benefits to enforcement.</w:t>
      </w:r>
      <w:r>
        <w:t xml:space="preserve">”</w:t>
      </w:r>
      <w:r>
        <w:t xml:space="preserve"> </w:t>
      </w:r>
      <w:r>
        <w:t xml:space="preserve">TIA Reply at 4.</w:t>
      </w:r>
    </w:p>
    <w:p>
      <w:pPr>
        <w:pStyle w:val="Heading3"/>
      </w:pPr>
      <w:bookmarkStart w:id="50" w:name="X4c1d3d1b21454e03b1abeca8117617c1d811b6a"/>
      <w:r>
        <w:t xml:space="preserve">B. Marketing Prohibition on Covered List Entity Equipment (¶ 86)</w:t>
      </w:r>
      <w:bookmarkEnd w:id="50"/>
    </w:p>
    <w:p>
      <w:pPr>
        <w:pStyle w:val="FirstParagraph"/>
      </w:pPr>
      <w:r>
        <w:rPr>
          <w:b/>
        </w:rPr>
        <w:t xml:space="preserve">Hikvision</w:t>
      </w:r>
      <w:r>
        <w:t xml:space="preserve"> </w:t>
      </w:r>
      <w:r>
        <w:t xml:space="preserve">opposes the Commission’s proposal to</w:t>
      </w:r>
      <w:r>
        <w:t xml:space="preserve"> </w:t>
      </w:r>
      <w:r>
        <w:t xml:space="preserve">“</w:t>
      </w:r>
      <w:r>
        <w:t xml:space="preserve">bar marketing of equipment produced by Covered List entities far beyond the scope of the Covered List restrictions without any statutory basis.</w:t>
      </w:r>
      <w:r>
        <w:t xml:space="preserve">”</w:t>
      </w:r>
      <w:r>
        <w:t xml:space="preserve"> </w:t>
      </w:r>
      <w:r>
        <w:t xml:space="preserve">Hikvision Comments at 1. Hikvision argues the Commission</w:t>
      </w:r>
      <w:r>
        <w:t xml:space="preserve"> </w:t>
      </w:r>
      <w:r>
        <w:t xml:space="preserve">“</w:t>
      </w:r>
      <w:r>
        <w:t xml:space="preserve">proposes to regulate transporters as marketers, despite statutory language to the contrary.</w:t>
      </w:r>
      <w:r>
        <w:t xml:space="preserve">”</w:t>
      </w:r>
      <w:r>
        <w:t xml:space="preserve"> </w:t>
      </w:r>
      <w:r>
        <w:t xml:space="preserve">Hikvision Comments at 1.</w:t>
      </w:r>
    </w:p>
    <w:p>
      <w:pPr>
        <w:pStyle w:val="Heading3"/>
      </w:pPr>
      <w:bookmarkStart w:id="51" w:name="X8a2bfb2a090db2d68aed3e5d9769077d9e99c26"/>
      <w:r>
        <w:t xml:space="preserve">C. Importation Compliance and Consignee Liability (¶¶ 87–88)</w:t>
      </w:r>
      <w:bookmarkEnd w:id="51"/>
    </w:p>
    <w:p>
      <w:pPr>
        <w:pStyle w:val="FirstParagraph"/>
      </w:pPr>
      <w:r>
        <w:rPr>
          <w:b/>
        </w:rPr>
        <w:t xml:space="preserve">NTCA</w:t>
      </w:r>
      <w:r>
        <w:t xml:space="preserve"> </w:t>
      </w:r>
      <w:r>
        <w:t xml:space="preserve">argues that compliance obligations</w:t>
      </w:r>
      <w:r>
        <w:t xml:space="preserve"> </w:t>
      </w:r>
      <w:r>
        <w:t xml:space="preserve">“</w:t>
      </w:r>
      <w:r>
        <w:t xml:space="preserve">should not fall on communications providers who had no part in assembling equipment and are in no position to gather facts about such assembly.</w:t>
      </w:r>
      <w:r>
        <w:t xml:space="preserve">”</w:t>
      </w:r>
      <w:r>
        <w:t xml:space="preserve"> </w:t>
      </w:r>
      <w:r>
        <w:t xml:space="preserve">NTCA Comments at 7. NTCA recommends the Commission</w:t>
      </w:r>
      <w:r>
        <w:t xml:space="preserve"> </w:t>
      </w:r>
      <w:r>
        <w:t xml:space="preserve">“</w:t>
      </w:r>
      <w:r>
        <w:t xml:space="preserve">require manufacturers to include certification . . . that neither components nor the equipment itself are covered when making equipment available</w:t>
      </w:r>
      <w:r>
        <w:t xml:space="preserve">”</w:t>
      </w:r>
      <w:r>
        <w:t xml:space="preserve"> </w:t>
      </w:r>
      <w:r>
        <w:t xml:space="preserve">and that</w:t>
      </w:r>
      <w:r>
        <w:t xml:space="preserve"> </w:t>
      </w:r>
      <w:r>
        <w:t xml:space="preserve">“</w:t>
      </w:r>
      <w:r>
        <w:t xml:space="preserve">[p]roviders purchasing equipment should be allowed to rely on this certification.</w:t>
      </w:r>
      <w:r>
        <w:t xml:space="preserve">”</w:t>
      </w:r>
      <w:r>
        <w:t xml:space="preserve"> </w:t>
      </w:r>
      <w:r>
        <w:t xml:space="preserve">NTCA Comments at 9.</w:t>
      </w:r>
    </w:p>
    <w:p>
      <w:pPr>
        <w:pStyle w:val="BodyText"/>
      </w:pPr>
      <w:r>
        <w:rPr>
          <w:b/>
        </w:rPr>
        <w:t xml:space="preserve">USTelecom Reply</w:t>
      </w:r>
      <w:r>
        <w:t xml:space="preserve"> </w:t>
      </w:r>
      <w:r>
        <w:t xml:space="preserve">“</w:t>
      </w:r>
      <w:r>
        <w:t xml:space="preserve">agrees with CTIA that the Commission should refrain from imposing independent verification requirements or specific document requirements on consignees that go beyond the scope of current law.</w:t>
      </w:r>
      <w:r>
        <w:t xml:space="preserve">”</w:t>
      </w:r>
      <w:r>
        <w:t xml:space="preserve"> </w:t>
      </w:r>
      <w:r>
        <w:t xml:space="preserve">USTelecom Reply at 2. USTelecom Reply argues that consignees</w:t>
      </w:r>
      <w:r>
        <w:t xml:space="preserve"> </w:t>
      </w:r>
      <w:r>
        <w:t xml:space="preserve">“</w:t>
      </w:r>
      <w:r>
        <w:t xml:space="preserve">must be allowed to rely on compliance representations made by entities closer to the manufacturing or importation source</w:t>
      </w:r>
      <w:r>
        <w:t xml:space="preserve">”</w:t>
      </w:r>
      <w:r>
        <w:t xml:space="preserve"> </w:t>
      </w:r>
      <w:r>
        <w:t xml:space="preserve">because they have</w:t>
      </w:r>
      <w:r>
        <w:t xml:space="preserve"> </w:t>
      </w:r>
      <w:r>
        <w:t xml:space="preserve">“</w:t>
      </w:r>
      <w:r>
        <w:t xml:space="preserve">neither independent knowledge nor visibility into the manufacturing nor importation process.</w:t>
      </w:r>
      <w:r>
        <w:t xml:space="preserve">”</w:t>
      </w:r>
      <w:r>
        <w:t xml:space="preserve"> </w:t>
      </w:r>
      <w:r>
        <w:t xml:space="preserve">USTelecom Reply at 2. USTelecom Reply supports NTCA’s suggestion for manufacturer certification. USTelecom Reply at 3.</w:t>
      </w:r>
    </w:p>
    <w:p>
      <w:pPr>
        <w:pStyle w:val="BodyText"/>
      </w:pPr>
      <w:r>
        <w:rPr>
          <w:b/>
        </w:rPr>
        <w:t xml:space="preserve">CRF</w:t>
      </w:r>
      <w:r>
        <w:t xml:space="preserve"> </w:t>
      </w:r>
      <w:r>
        <w:t xml:space="preserve">urges the Commission to</w:t>
      </w:r>
      <w:r>
        <w:t xml:space="preserve"> </w:t>
      </w:r>
      <w:r>
        <w:t xml:space="preserve">“</w:t>
      </w:r>
      <w:r>
        <w:t xml:space="preserve">ensure that any marketing or distribution liability tracks actual knowledge, intent, and capacity to verify</w:t>
      </w:r>
      <w:r>
        <w:t xml:space="preserve">”</w:t>
      </w:r>
      <w:r>
        <w:t xml:space="preserve"> </w:t>
      </w:r>
      <w:r>
        <w:t xml:space="preserve">and argues that</w:t>
      </w:r>
      <w:r>
        <w:t xml:space="preserve"> </w:t>
      </w:r>
      <w:r>
        <w:t xml:space="preserve">“</w:t>
      </w:r>
      <w:r>
        <w:t xml:space="preserve">[l]iability should attach where an actor knowingly markets prohibited equipment, intentionally circumvents rules, or exercises meaningful control over compliance-relevant decisions.</w:t>
      </w:r>
      <w:r>
        <w:t xml:space="preserve">”</w:t>
      </w:r>
      <w:r>
        <w:t xml:space="preserve"> </w:t>
      </w:r>
      <w:r>
        <w:t xml:space="preserve">CRF Comments at 9.</w:t>
      </w:r>
    </w:p>
    <w:p>
      <w:r>
        <w:pict>
          <v:rect style="width:0;height:1.5pt" o:hralign="center" o:hrstd="t" o:hr="t"/>
        </w:pict>
      </w:r>
    </w:p>
    <w:p>
      <w:pPr>
        <w:pStyle w:val="Heading2"/>
      </w:pPr>
      <w:bookmarkStart w:id="52" w:name="X4641fdee9df65f630c53b7af878e23620b2fe82"/>
      <w:r>
        <w:t xml:space="preserve">V. STRENGTHENING ENFORCEMENT OF MARKETING PROHIBITIONS (¶¶ 90–93)</w:t>
      </w:r>
      <w:bookmarkEnd w:id="52"/>
    </w:p>
    <w:p>
      <w:pPr>
        <w:pStyle w:val="FirstParagraph"/>
      </w:pPr>
      <w:r>
        <w:t xml:space="preserve">The Commission seeks comment on additional measures to safeguard consumers and communications networks, including post-revocation notification requirements, tools to identify equipment with revoked or limited authorization, and ongoing compliance practices by marketing entities.</w:t>
      </w:r>
    </w:p>
    <w:p>
      <w:pPr>
        <w:pStyle w:val="Heading3"/>
      </w:pPr>
      <w:bookmarkStart w:id="53" w:name="a.-post-revocation-marketing-91"/>
      <w:r>
        <w:t xml:space="preserve">A. Post-Revocation Marketing (¶ 91)</w:t>
      </w:r>
      <w:bookmarkEnd w:id="53"/>
    </w:p>
    <w:p>
      <w:pPr>
        <w:pStyle w:val="FirstParagraph"/>
      </w:pPr>
      <w:r>
        <w:rPr>
          <w:b/>
        </w:rPr>
        <w:t xml:space="preserve">Sirius XM</w:t>
      </w:r>
      <w:r>
        <w:t xml:space="preserve"> </w:t>
      </w:r>
      <w:r>
        <w:t xml:space="preserve">provides detailed enforcement proposals, urging the Commission to: (1) issue more Enforcement Advisories identifying unlawful equipment types; (2) supplement its website descriptions of unlawful products; (3) issue more citations and notices of violations to retailers; and (4) establish</w:t>
      </w:r>
      <w:r>
        <w:t xml:space="preserve"> </w:t>
      </w:r>
      <w:r>
        <w:t xml:space="preserve">“</w:t>
      </w:r>
      <w:r>
        <w:t xml:space="preserve">an online portal enabling members of the public to file complaints about individual unauthorized products.</w:t>
      </w:r>
      <w:r>
        <w:t xml:space="preserve">”</w:t>
      </w:r>
      <w:r>
        <w:t xml:space="preserve"> </w:t>
      </w:r>
      <w:r>
        <w:t xml:space="preserve">Sirius XM Comments at 8.</w:t>
      </w:r>
    </w:p>
    <w:p>
      <w:pPr>
        <w:pStyle w:val="BodyText"/>
      </w:pPr>
      <w:r>
        <w:rPr>
          <w:b/>
        </w:rPr>
        <w:t xml:space="preserve">USTelecom Reply</w:t>
      </w:r>
      <w:r>
        <w:t xml:space="preserve"> </w:t>
      </w:r>
      <w:r>
        <w:t xml:space="preserve">argues that rather than imposing obligations on retailers and re-sellers,</w:t>
      </w:r>
      <w:r>
        <w:t xml:space="preserve"> </w:t>
      </w:r>
      <w:r>
        <w:t xml:space="preserve">“</w:t>
      </w:r>
      <w:r>
        <w:t xml:space="preserve">the Commission should issue public notices and consumer advisories to allow consumers to identify any restrictions on the marketing of previously authorized equipment.</w:t>
      </w:r>
      <w:r>
        <w:t xml:space="preserve">”</w:t>
      </w:r>
      <w:r>
        <w:t xml:space="preserve"> </w:t>
      </w:r>
      <w:r>
        <w:t xml:space="preserve">USTelecom Reply at 4.</w:t>
      </w:r>
    </w:p>
    <w:p>
      <w:pPr>
        <w:pStyle w:val="BodyText"/>
      </w:pPr>
      <w:r>
        <w:rPr>
          <w:b/>
        </w:rPr>
        <w:t xml:space="preserve">USTelecom Reply</w:t>
      </w:r>
      <w:r>
        <w:t xml:space="preserve"> </w:t>
      </w:r>
      <w:r>
        <w:t xml:space="preserve">further argues that the</w:t>
      </w:r>
      <w:r>
        <w:t xml:space="preserve"> </w:t>
      </w:r>
      <w:r>
        <w:t xml:space="preserve">“</w:t>
      </w:r>
      <w:r>
        <w:t xml:space="preserve">Commission should not impose any such obligations on the enumerated stakeholders, or at a minimum, not on re-sellers</w:t>
      </w:r>
      <w:r>
        <w:t xml:space="preserve">”</w:t>
      </w:r>
      <w:r>
        <w:t xml:space="preserve"> </w:t>
      </w:r>
      <w:r>
        <w:t xml:space="preserve">because this</w:t>
      </w:r>
      <w:r>
        <w:t xml:space="preserve"> </w:t>
      </w:r>
      <w:r>
        <w:t xml:space="preserve">“</w:t>
      </w:r>
      <w:r>
        <w:t xml:space="preserve">could place an unworkable burden on re-sellers, who do not have access to regulatory authorization or compliance records held by manufacturers.</w:t>
      </w:r>
      <w:r>
        <w:t xml:space="preserve">”</w:t>
      </w:r>
      <w:r>
        <w:t xml:space="preserve"> </w:t>
      </w:r>
      <w:r>
        <w:t xml:space="preserve">USTelecom Reply at 3–4.</w:t>
      </w:r>
    </w:p>
    <w:p>
      <w:pPr>
        <w:pStyle w:val="Heading3"/>
      </w:pPr>
      <w:bookmarkStart w:id="54" w:name="X1b9cfe0e236650fe5d519b3a3a247a0bc2d483b"/>
      <w:r>
        <w:t xml:space="preserve">B. Tools to Identify Revoked/Limited Equipment (¶ 92)</w:t>
      </w:r>
      <w:bookmarkEnd w:id="54"/>
    </w:p>
    <w:p>
      <w:pPr>
        <w:pStyle w:val="FirstParagraph"/>
      </w:pPr>
      <w:r>
        <w:rPr>
          <w:b/>
        </w:rPr>
        <w:t xml:space="preserve">Somos</w:t>
      </w:r>
      <w:r>
        <w:t xml:space="preserve"> </w:t>
      </w:r>
      <w:r>
        <w:t xml:space="preserve">recommends</w:t>
      </w:r>
      <w:r>
        <w:t xml:space="preserve"> </w:t>
      </w:r>
      <w:r>
        <w:t xml:space="preserve">“</w:t>
      </w:r>
      <w:r>
        <w:t xml:space="preserve">a centralized device registry maintaining information about authorized devices, their component relationships, and associated security vulnerabilities.</w:t>
      </w:r>
      <w:r>
        <w:t xml:space="preserve">”</w:t>
      </w:r>
      <w:r>
        <w:t xml:space="preserve"> </w:t>
      </w:r>
      <w:r>
        <w:t xml:space="preserve">Somos Comments at 3. Somos argues that</w:t>
      </w:r>
      <w:r>
        <w:t xml:space="preserve"> </w:t>
      </w:r>
      <w:r>
        <w:t xml:space="preserve">“</w:t>
      </w:r>
      <w:r>
        <w:t xml:space="preserve">[t]he FCC’s Equipment Authorization Database currently records certain technical attributes but does not track software supply-chain data, cybersecurity characteristics, vulnerability histories, or Covered List entity linkages.</w:t>
      </w:r>
      <w:r>
        <w:t xml:space="preserve">”</w:t>
      </w:r>
      <w:r>
        <w:t xml:space="preserve"> </w:t>
      </w:r>
      <w:r>
        <w:t xml:space="preserve">Somos Comments at 3.</w:t>
      </w:r>
    </w:p>
    <w:p>
      <w:pPr>
        <w:pStyle w:val="BodyText"/>
      </w:pPr>
      <w:r>
        <w:rPr>
          <w:b/>
        </w:rPr>
        <w:t xml:space="preserve">ALA</w:t>
      </w:r>
      <w:r>
        <w:t xml:space="preserve"> </w:t>
      </w:r>
      <w:r>
        <w:t xml:space="preserve">suggests the Commission</w:t>
      </w:r>
      <w:r>
        <w:t xml:space="preserve"> </w:t>
      </w:r>
      <w:r>
        <w:t xml:space="preserve">“</w:t>
      </w:r>
      <w:r>
        <w:t xml:space="preserve">consider publishing and maintaining a list of specific chipsets, component models, or categories that are considered</w:t>
      </w:r>
      <w:r>
        <w:t xml:space="preserve"> </w:t>
      </w:r>
      <w:r>
        <w:t xml:space="preserve">‘</w:t>
      </w:r>
      <w:r>
        <w:t xml:space="preserve">covered</w:t>
      </w:r>
      <w:r>
        <w:t xml:space="preserve">’</w:t>
      </w:r>
      <w:r>
        <w:t xml:space="preserve"> </w:t>
      </w:r>
      <w:r>
        <w:t xml:space="preserve">or otherwise restricted.</w:t>
      </w:r>
      <w:r>
        <w:t xml:space="preserve">”</w:t>
      </w:r>
      <w:r>
        <w:t xml:space="preserve"> </w:t>
      </w:r>
      <w:r>
        <w:t xml:space="preserve">ALA Reply at 1.</w:t>
      </w:r>
    </w:p>
    <w:p>
      <w:pPr>
        <w:pStyle w:val="Heading3"/>
      </w:pPr>
      <w:bookmarkStart w:id="55" w:name="c.-ongoing-compliance-practices-93"/>
      <w:r>
        <w:t xml:space="preserve">C. Ongoing Compliance Practices (¶ 93)</w:t>
      </w:r>
      <w:bookmarkEnd w:id="55"/>
    </w:p>
    <w:p>
      <w:pPr>
        <w:pStyle w:val="FirstParagraph"/>
      </w:pPr>
      <w:r>
        <w:rPr>
          <w:b/>
        </w:rPr>
        <w:t xml:space="preserve">Somos</w:t>
      </w:r>
      <w:r>
        <w:t xml:space="preserve"> </w:t>
      </w:r>
      <w:r>
        <w:t xml:space="preserve">recommends that</w:t>
      </w:r>
      <w:r>
        <w:t xml:space="preserve"> </w:t>
      </w:r>
      <w:r>
        <w:t xml:space="preserve">“</w:t>
      </w:r>
      <w:r>
        <w:t xml:space="preserve">Telecommunications Certification Bodies (TCBs) may appropriately assume additional responsibilities: verifying SBOM submission completeness, assessing secure-update mechanisms, reviewing end-of-life declarations, and conducting random supply-chain information audits.</w:t>
      </w:r>
      <w:r>
        <w:t xml:space="preserve">”</w:t>
      </w:r>
      <w:r>
        <w:t xml:space="preserve"> </w:t>
      </w:r>
      <w:r>
        <w:t xml:space="preserve">Somos Comments at 4.</w:t>
      </w:r>
    </w:p>
    <w:p>
      <w:pPr>
        <w:pStyle w:val="BodyText"/>
      </w:pPr>
      <w:r>
        <w:rPr>
          <w:b/>
        </w:rPr>
        <w:t xml:space="preserve">FDD</w:t>
      </w:r>
      <w:r>
        <w:t xml:space="preserve"> </w:t>
      </w:r>
      <w:r>
        <w:t xml:space="preserve">urges the Commission to</w:t>
      </w:r>
      <w:r>
        <w:t xml:space="preserve"> </w:t>
      </w:r>
      <w:r>
        <w:t xml:space="preserve">“</w:t>
      </w:r>
      <w:r>
        <w:t xml:space="preserve">consider requiring periodic verifications of the authorization status of imported inventory to ensure that the equipment . . . remains compliant with FCC standards.</w:t>
      </w:r>
      <w:r>
        <w:t xml:space="preserve">”</w:t>
      </w:r>
      <w:r>
        <w:t xml:space="preserve"> </w:t>
      </w:r>
      <w:r>
        <w:t xml:space="preserve">FDD Comments at 2.</w:t>
      </w:r>
    </w:p>
    <w:p>
      <w:pPr>
        <w:pStyle w:val="Heading3"/>
      </w:pPr>
      <w:bookmarkStart w:id="56" w:name="X08c9f6772b86fd2bf3e93bf3fd56fd90b301044"/>
      <w:r>
        <w:t xml:space="preserve">D. Expiration Dates on Equipment Authorization (¶ 91)</w:t>
      </w:r>
      <w:bookmarkEnd w:id="56"/>
    </w:p>
    <w:p>
      <w:pPr>
        <w:pStyle w:val="FirstParagraph"/>
      </w:pPr>
      <w:r>
        <w:rPr>
          <w:b/>
        </w:rPr>
        <w:t xml:space="preserve">Sony</w:t>
      </w:r>
      <w:r>
        <w:t xml:space="preserve"> </w:t>
      </w:r>
      <w:r>
        <w:t xml:space="preserve">“</w:t>
      </w:r>
      <w:r>
        <w:t xml:space="preserve">strongly recommends [the] Commission refrain from introducing expiration dates or time limits on equipment authorization.</w:t>
      </w:r>
      <w:r>
        <w:t xml:space="preserve">”</w:t>
      </w:r>
      <w:r>
        <w:t xml:space="preserve"> </w:t>
      </w:r>
      <w:r>
        <w:t xml:space="preserve">Sony Comments at 4. Sony argues that this</w:t>
      </w:r>
      <w:r>
        <w:t xml:space="preserve"> </w:t>
      </w:r>
      <w:r>
        <w:t xml:space="preserve">“</w:t>
      </w:r>
      <w:r>
        <w:t xml:space="preserve">would require Grantees to renew authorizations for products even when no changes affect authorization status</w:t>
      </w:r>
      <w:r>
        <w:t xml:space="preserve">”</w:t>
      </w:r>
      <w:r>
        <w:t xml:space="preserve"> </w:t>
      </w:r>
      <w:r>
        <w:t xml:space="preserve">and would</w:t>
      </w:r>
      <w:r>
        <w:t xml:space="preserve"> </w:t>
      </w:r>
      <w:r>
        <w:t xml:space="preserve">“</w:t>
      </w:r>
      <w:r>
        <w:t xml:space="preserve">diverge from core purpose of equipment authorization program.</w:t>
      </w:r>
      <w:r>
        <w:t xml:space="preserve">”</w:t>
      </w:r>
      <w:r>
        <w:t xml:space="preserve"> </w:t>
      </w:r>
      <w:r>
        <w:t xml:space="preserve">Sony Comments at 4. Sony warns that</w:t>
      </w:r>
      <w:r>
        <w:t xml:space="preserve"> </w:t>
      </w:r>
      <w:r>
        <w:t xml:space="preserve">“</w:t>
      </w:r>
      <w:r>
        <w:t xml:space="preserve">[a]uthorization volumes [are] already trending upward; adding expirations would increase TCB workload, leading to longer review lead times</w:t>
      </w:r>
      <w:r>
        <w:t xml:space="preserve">”</w:t>
      </w:r>
      <w:r>
        <w:t xml:space="preserve"> </w:t>
      </w:r>
      <w:r>
        <w:t xml:space="preserve">and</w:t>
      </w:r>
      <w:r>
        <w:t xml:space="preserve"> </w:t>
      </w:r>
      <w:r>
        <w:t xml:space="preserve">“</w:t>
      </w:r>
      <w:r>
        <w:t xml:space="preserve">[w]ould delay product introductions and increase costs.</w:t>
      </w:r>
      <w:r>
        <w:t xml:space="preserve">”</w:t>
      </w:r>
      <w:r>
        <w:t xml:space="preserve"> </w:t>
      </w:r>
      <w:r>
        <w:t xml:space="preserve">Sony Comments at 4.</w:t>
      </w:r>
    </w:p>
    <w:p>
      <w:pPr>
        <w:pStyle w:val="Heading3"/>
      </w:pPr>
      <w:bookmarkStart w:id="57" w:name="e.-fcc-id-display-on-packaging-91"/>
      <w:r>
        <w:t xml:space="preserve">E. FCC ID Display on Packaging (¶ 91)</w:t>
      </w:r>
      <w:bookmarkEnd w:id="57"/>
    </w:p>
    <w:p>
      <w:pPr>
        <w:pStyle w:val="FirstParagraph"/>
      </w:pPr>
      <w:r>
        <w:rPr>
          <w:b/>
        </w:rPr>
        <w:t xml:space="preserve">Sony</w:t>
      </w:r>
      <w:r>
        <w:t xml:space="preserve"> </w:t>
      </w:r>
      <w:r>
        <w:t xml:space="preserve">“</w:t>
      </w:r>
      <w:r>
        <w:t xml:space="preserve">recommends NOT mandating display of FCC ID on product packaging,</w:t>
      </w:r>
      <w:r>
        <w:t xml:space="preserve">”</w:t>
      </w:r>
      <w:r>
        <w:t xml:space="preserve"> </w:t>
      </w:r>
      <w:r>
        <w:t xml:space="preserve">arguing that</w:t>
      </w:r>
      <w:r>
        <w:t xml:space="preserve"> </w:t>
      </w:r>
      <w:r>
        <w:t xml:space="preserve">“</w:t>
      </w:r>
      <w:r>
        <w:t xml:space="preserve">[c]ompliance would require packaging redesigns, printed material replacement, and inventory rotation with additional costs</w:t>
      </w:r>
      <w:r>
        <w:t xml:space="preserve">”</w:t>
      </w:r>
      <w:r>
        <w:t xml:space="preserve"> </w:t>
      </w:r>
      <w:r>
        <w:t xml:space="preserve">while</w:t>
      </w:r>
      <w:r>
        <w:t xml:space="preserve"> </w:t>
      </w:r>
      <w:r>
        <w:t xml:space="preserve">“</w:t>
      </w:r>
      <w:r>
        <w:t xml:space="preserve">[i]nformational benefit to consumers and retailers would be limited</w:t>
      </w:r>
      <w:r>
        <w:t xml:space="preserve">”</w:t>
      </w:r>
      <w:r>
        <w:t xml:space="preserve"> </w:t>
      </w:r>
      <w:r>
        <w:t xml:space="preserve">because it is</w:t>
      </w:r>
      <w:r>
        <w:t xml:space="preserve"> </w:t>
      </w:r>
      <w:r>
        <w:t xml:space="preserve">“</w:t>
      </w:r>
      <w:r>
        <w:t xml:space="preserve">[n]ot common practice to manually enter FCC ID from packaging at point of sale.</w:t>
      </w:r>
      <w:r>
        <w:t xml:space="preserve">”</w:t>
      </w:r>
      <w:r>
        <w:t xml:space="preserve"> </w:t>
      </w:r>
      <w:r>
        <w:t xml:space="preserve">Sony Comments at 3.</w:t>
      </w:r>
    </w:p>
    <w:p>
      <w:r>
        <w:pict>
          <v:rect style="width:0;height:1.5pt" o:hralign="center" o:hrstd="t" o:hr="t"/>
        </w:pict>
      </w:r>
    </w:p>
    <w:p>
      <w:pPr>
        <w:pStyle w:val="Heading2"/>
      </w:pPr>
      <w:bookmarkStart w:id="58" w:name="vi.-benefits-and-costs-94"/>
      <w:r>
        <w:t xml:space="preserve">VI. BENEFITS AND COSTS (¶ 94)</w:t>
      </w:r>
      <w:bookmarkEnd w:id="58"/>
    </w:p>
    <w:p>
      <w:pPr>
        <w:pStyle w:val="FirstParagraph"/>
      </w:pPr>
      <w:r>
        <w:t xml:space="preserve">The Commission seeks information on the benefits and costs of its proposals and any proposed implementation.</w:t>
      </w:r>
    </w:p>
    <w:p>
      <w:pPr>
        <w:pStyle w:val="Heading3"/>
      </w:pPr>
      <w:bookmarkStart w:id="59" w:name="a.-industry-cost-concerns"/>
      <w:r>
        <w:t xml:space="preserve">A. Industry Cost Concerns</w:t>
      </w:r>
      <w:bookmarkEnd w:id="59"/>
    </w:p>
    <w:p>
      <w:pPr>
        <w:pStyle w:val="FirstParagraph"/>
      </w:pPr>
      <w:r>
        <w:t xml:space="preserve">The record is replete with cost concerns across virtually every category of commenter.</w:t>
      </w:r>
    </w:p>
    <w:p>
      <w:pPr>
        <w:pStyle w:val="BodyText"/>
      </w:pPr>
      <w:r>
        <w:rPr>
          <w:b/>
        </w:rPr>
        <w:t xml:space="preserve">Garmin</w:t>
      </w:r>
      <w:r>
        <w:t xml:space="preserve"> </w:t>
      </w:r>
      <w:r>
        <w:t xml:space="preserve">warns of</w:t>
      </w:r>
      <w:r>
        <w:t xml:space="preserve"> </w:t>
      </w:r>
      <w:r>
        <w:t xml:space="preserve">“</w:t>
      </w:r>
      <w:r>
        <w:t xml:space="preserve">extreme costs</w:t>
      </w:r>
      <w:r>
        <w:t xml:space="preserve">”</w:t>
      </w:r>
      <w:r>
        <w:t xml:space="preserve"> </w:t>
      </w:r>
      <w:r>
        <w:t xml:space="preserve">for</w:t>
      </w:r>
      <w:r>
        <w:t xml:space="preserve"> </w:t>
      </w:r>
      <w:r>
        <w:t xml:space="preserve">“</w:t>
      </w:r>
      <w:r>
        <w:t xml:space="preserve">manufacturers already operating under tight margins</w:t>
      </w:r>
      <w:r>
        <w:t xml:space="preserve">”</w:t>
      </w:r>
      <w:r>
        <w:t xml:space="preserve"> </w:t>
      </w:r>
      <w:r>
        <w:t xml:space="preserve">with</w:t>
      </w:r>
      <w:r>
        <w:t xml:space="preserve"> </w:t>
      </w:r>
      <w:r>
        <w:t xml:space="preserve">“</w:t>
      </w:r>
      <w:r>
        <w:t xml:space="preserve">small and medium-sized manufacturers . . . particularly affected.</w:t>
      </w:r>
      <w:r>
        <w:t xml:space="preserve">”</w:t>
      </w:r>
      <w:r>
        <w:t xml:space="preserve"> </w:t>
      </w:r>
      <w:r>
        <w:t xml:space="preserve">Garmin Comments at 8.</w:t>
      </w:r>
    </w:p>
    <w:p>
      <w:pPr>
        <w:pStyle w:val="BodyText"/>
      </w:pPr>
      <w:r>
        <w:rPr>
          <w:b/>
        </w:rPr>
        <w:t xml:space="preserve">MEMA</w:t>
      </w:r>
      <w:r>
        <w:t xml:space="preserve"> </w:t>
      </w:r>
      <w:r>
        <w:t xml:space="preserve">emphasizes that</w:t>
      </w:r>
      <w:r>
        <w:t xml:space="preserve"> </w:t>
      </w:r>
      <w:r>
        <w:t xml:space="preserve">“</w:t>
      </w:r>
      <w:r>
        <w:t xml:space="preserve">[e]ven minor modifications can necessitate a redesign of hardware, firmware, or systems architectures, followed by renewed validation, Telecommunication Certification Body (TCB) review, and potential re-certification.</w:t>
      </w:r>
      <w:r>
        <w:t xml:space="preserve">”</w:t>
      </w:r>
      <w:r>
        <w:t xml:space="preserve"> </w:t>
      </w:r>
      <w:r>
        <w:t xml:space="preserve">MEMA Comments at 2.</w:t>
      </w:r>
    </w:p>
    <w:p>
      <w:pPr>
        <w:pStyle w:val="BodyText"/>
      </w:pPr>
      <w:r>
        <w:rPr>
          <w:b/>
        </w:rPr>
        <w:t xml:space="preserve">CRF</w:t>
      </w:r>
      <w:r>
        <w:t xml:space="preserve"> </w:t>
      </w:r>
      <w:r>
        <w:t xml:space="preserve">argues that</w:t>
      </w:r>
      <w:r>
        <w:t xml:space="preserve"> </w:t>
      </w:r>
      <w:r>
        <w:t xml:space="preserve">“</w:t>
      </w:r>
      <w:r>
        <w:t xml:space="preserve">[a]dministerability and cost realism are not secondary considerations in this proceeding; they are central to effective policy design.</w:t>
      </w:r>
      <w:r>
        <w:t xml:space="preserve">”</w:t>
      </w:r>
      <w:r>
        <w:t xml:space="preserve"> </w:t>
      </w:r>
      <w:r>
        <w:t xml:space="preserve">CRF Comments at 3. CRF warns that</w:t>
      </w:r>
      <w:r>
        <w:t xml:space="preserve"> </w:t>
      </w:r>
      <w:r>
        <w:t xml:space="preserve">“</w:t>
      </w:r>
      <w:r>
        <w:t xml:space="preserve">[r]ules that rely on unverifiable representations, or diffuse responsibility across actors lacking meaningful control, invite error, over-compliance, and inconsistent enforcement.</w:t>
      </w:r>
      <w:r>
        <w:t xml:space="preserve">”</w:t>
      </w:r>
      <w:r>
        <w:t xml:space="preserve"> </w:t>
      </w:r>
      <w:r>
        <w:t xml:space="preserve">CRF Comments at 3.</w:t>
      </w:r>
    </w:p>
    <w:p>
      <w:pPr>
        <w:pStyle w:val="BodyText"/>
      </w:pPr>
      <w:r>
        <w:rPr>
          <w:b/>
        </w:rPr>
        <w:t xml:space="preserve">DJI</w:t>
      </w:r>
      <w:r>
        <w:t xml:space="preserve"> </w:t>
      </w:r>
      <w:r>
        <w:t xml:space="preserve">cites</w:t>
      </w:r>
      <w:r>
        <w:t xml:space="preserve"> </w:t>
      </w:r>
      <w:r>
        <w:t xml:space="preserve">“</w:t>
      </w:r>
      <w:r>
        <w:t xml:space="preserve">an independent 2023 economic impact analysis [finding] that DJI enables more than $116 billion in economic activity across the U.S. and supports more than 450,000 American jobs.</w:t>
      </w:r>
      <w:r>
        <w:t xml:space="preserve">”</w:t>
      </w:r>
      <w:r>
        <w:t xml:space="preserve"> </w:t>
      </w:r>
      <w:r>
        <w:t xml:space="preserve">DJI Comments at 1.</w:t>
      </w:r>
    </w:p>
    <w:p>
      <w:pPr>
        <w:pStyle w:val="BodyText"/>
      </w:pPr>
      <w:r>
        <w:rPr>
          <w:b/>
        </w:rPr>
        <w:t xml:space="preserve">Pyka</w:t>
      </w:r>
      <w:r>
        <w:t xml:space="preserve"> </w:t>
      </w:r>
      <w:r>
        <w:t xml:space="preserve">notes that for some components, alternatives carry</w:t>
      </w:r>
      <w:r>
        <w:t xml:space="preserve"> </w:t>
      </w:r>
      <w:r>
        <w:t xml:space="preserve">“</w:t>
      </w:r>
      <w:r>
        <w:t xml:space="preserve">substantially higher cost (in some instances, up to ten times the current price) and reduced functionality.</w:t>
      </w:r>
      <w:r>
        <w:t xml:space="preserve">”</w:t>
      </w:r>
      <w:r>
        <w:t xml:space="preserve"> </w:t>
      </w:r>
      <w:r>
        <w:t xml:space="preserve">Pyka Reply at 5.</w:t>
      </w:r>
    </w:p>
    <w:p>
      <w:pPr>
        <w:pStyle w:val="Heading3"/>
      </w:pPr>
      <w:bookmarkStart w:id="60" w:name="b.-national-security-benefits"/>
      <w:r>
        <w:t xml:space="preserve">B. National Security Benefits</w:t>
      </w:r>
      <w:bookmarkEnd w:id="60"/>
    </w:p>
    <w:p>
      <w:pPr>
        <w:pStyle w:val="FirstParagraph"/>
      </w:pPr>
      <w:r>
        <w:rPr>
          <w:b/>
        </w:rPr>
        <w:t xml:space="preserve">FDD</w:t>
      </w:r>
      <w:r>
        <w:t xml:space="preserve"> </w:t>
      </w:r>
      <w:r>
        <w:t xml:space="preserve">argues that</w:t>
      </w:r>
      <w:r>
        <w:t xml:space="preserve"> </w:t>
      </w:r>
      <w:r>
        <w:t xml:space="preserve">“</w:t>
      </w:r>
      <w:r>
        <w:t xml:space="preserve">[t]he cost of inaction—measured in both dollars and national security risk—grows every day, signaling to adversaries that regulatory loopholes can be exploited to maintain access to U.S. critical infrastructure.</w:t>
      </w:r>
      <w:r>
        <w:t xml:space="preserve">”</w:t>
      </w:r>
      <w:r>
        <w:t xml:space="preserve"> </w:t>
      </w:r>
      <w:r>
        <w:t xml:space="preserve">FDD Comments at 3.</w:t>
      </w:r>
    </w:p>
    <w:p>
      <w:pPr>
        <w:pStyle w:val="BodyText"/>
      </w:pPr>
      <w:r>
        <w:rPr>
          <w:b/>
        </w:rPr>
        <w:t xml:space="preserve">MSI</w:t>
      </w:r>
      <w:r>
        <w:t xml:space="preserve"> </w:t>
      </w:r>
      <w:r>
        <w:t xml:space="preserve">contends that</w:t>
      </w:r>
      <w:r>
        <w:t xml:space="preserve"> </w:t>
      </w:r>
      <w:r>
        <w:t xml:space="preserve">“</w:t>
      </w:r>
      <w:r>
        <w:t xml:space="preserve">[a]nything less than the proposed definition and this accompanying interpretation would leave key gaps in the Commission’s efforts to protect U.S. networks.</w:t>
      </w:r>
      <w:r>
        <w:t xml:space="preserve">”</w:t>
      </w:r>
      <w:r>
        <w:t xml:space="preserve"> </w:t>
      </w:r>
      <w:r>
        <w:t xml:space="preserve">MSI Reply at 3.</w:t>
      </w:r>
    </w:p>
    <w:p>
      <w:pPr>
        <w:pStyle w:val="BodyText"/>
      </w:pPr>
      <w:r>
        <w:rPr>
          <w:b/>
        </w:rPr>
        <w:t xml:space="preserve">Somos</w:t>
      </w:r>
      <w:r>
        <w:t xml:space="preserve"> </w:t>
      </w:r>
      <w:r>
        <w:t xml:space="preserve">argues that</w:t>
      </w:r>
      <w:r>
        <w:t xml:space="preserve"> </w:t>
      </w:r>
      <w:r>
        <w:t xml:space="preserve">“</w:t>
      </w:r>
      <w:r>
        <w:t xml:space="preserve">[t]reating component-level risks with the same seriousness as device-level risks is essential to ensuring Covered List objectives are fully realized.</w:t>
      </w:r>
      <w:r>
        <w:t xml:space="preserve">”</w:t>
      </w:r>
      <w:r>
        <w:t xml:space="preserve"> </w:t>
      </w:r>
      <w:r>
        <w:t xml:space="preserve">Somos Comments at 5.</w:t>
      </w:r>
    </w:p>
    <w:p>
      <w:r>
        <w:pict>
          <v:rect style="width:0;height:1.5pt" o:hralign="center" o:hrstd="t" o:hr="t"/>
        </w:pict>
      </w:r>
    </w:p>
    <w:p>
      <w:pPr>
        <w:pStyle w:val="Heading2"/>
      </w:pPr>
      <w:bookmarkStart w:id="61" w:name="X3a50c748859e6bcfbd73b2e495d79ce13ef2ec2"/>
      <w:r>
        <w:t xml:space="preserve">VII. CTA-TIA JOINT PETITION FOR CLARIFICATION (Filed Dec. 22, 2025)</w:t>
      </w:r>
      <w:bookmarkEnd w:id="61"/>
    </w:p>
    <w:p>
      <w:pPr>
        <w:pStyle w:val="FirstParagraph"/>
      </w:pPr>
      <w:r>
        <w:t xml:space="preserve">Separately from the comment cycle, CTA and TIA filed a Joint Petition for Clarification of the Second Report and Order, requesting two discrete clarifications:</w:t>
      </w:r>
    </w:p>
    <w:p>
      <w:pPr>
        <w:pStyle w:val="BodyText"/>
      </w:pPr>
      <w:r>
        <w:rPr>
          <w:b/>
        </w:rPr>
        <w:t xml:space="preserve">First</w:t>
      </w:r>
      <w:r>
        <w:t xml:space="preserve">, the Associations request that FCC rule text</w:t>
      </w:r>
      <w:r>
        <w:t xml:space="preserve"> </w:t>
      </w:r>
      <w:r>
        <w:t xml:space="preserve">“</w:t>
      </w:r>
      <w:r>
        <w:t xml:space="preserve">require any actions limiting existing authorizations be taken in a way that directly reflects specific determinations by national security sources enumerated in the Secure Networks Act (Enumerated Sources).</w:t>
      </w:r>
      <w:r>
        <w:t xml:space="preserve">”</w:t>
      </w:r>
      <w:r>
        <w:t xml:space="preserve"> </w:t>
      </w:r>
      <w:r>
        <w:t xml:space="preserve">CTA-TIA Petition at 2. They emphasize that</w:t>
      </w:r>
      <w:r>
        <w:t xml:space="preserve"> </w:t>
      </w:r>
      <w:r>
        <w:t xml:space="preserve">“</w:t>
      </w:r>
      <w:r>
        <w:t xml:space="preserve">Congress invested Enumerated Sources with responsibility to make specific determinations underlying the FCC Covered List</w:t>
      </w:r>
      <w:r>
        <w:t xml:space="preserve">”</w:t>
      </w:r>
      <w:r>
        <w:t xml:space="preserve"> </w:t>
      </w:r>
      <w:r>
        <w:t xml:space="preserve">and the Commission should</w:t>
      </w:r>
      <w:r>
        <w:t xml:space="preserve"> </w:t>
      </w:r>
      <w:r>
        <w:t xml:space="preserve">“</w:t>
      </w:r>
      <w:r>
        <w:t xml:space="preserve">accept and incorporate formal input from Enumerated Sources into any final decision.</w:t>
      </w:r>
      <w:r>
        <w:t xml:space="preserve">”</w:t>
      </w:r>
      <w:r>
        <w:t xml:space="preserve"> </w:t>
      </w:r>
      <w:r>
        <w:t xml:space="preserve">CTA-TIA Petition at 2.</w:t>
      </w:r>
    </w:p>
    <w:p>
      <w:pPr>
        <w:pStyle w:val="BodyText"/>
      </w:pPr>
      <w:r>
        <w:rPr>
          <w:b/>
        </w:rPr>
        <w:t xml:space="preserve">Second</w:t>
      </w:r>
      <w:r>
        <w:t xml:space="preserve">, the Associations request</w:t>
      </w:r>
      <w:r>
        <w:t xml:space="preserve"> </w:t>
      </w:r>
      <w:r>
        <w:t xml:space="preserve">“</w:t>
      </w:r>
      <w:r>
        <w:t xml:space="preserve">direction to PSHSB and OET to engage with stakeholders in developing further guidance on how to evaluate whether a product is</w:t>
      </w:r>
      <w:r>
        <w:t xml:space="preserve"> </w:t>
      </w:r>
      <w:r>
        <w:t xml:space="preserve">‘</w:t>
      </w:r>
      <w:r>
        <w:t xml:space="preserve">produced by</w:t>
      </w:r>
      <w:r>
        <w:t xml:space="preserve">’</w:t>
      </w:r>
      <w:r>
        <w:t xml:space="preserve"> </w:t>
      </w:r>
      <w:r>
        <w:t xml:space="preserve">a specified entity.</w:t>
      </w:r>
      <w:r>
        <w:t xml:space="preserve">”</w:t>
      </w:r>
      <w:r>
        <w:t xml:space="preserve"> </w:t>
      </w:r>
      <w:r>
        <w:t xml:space="preserve">CTA-TIA Petition at 3. They note that</w:t>
      </w:r>
      <w:r>
        <w:t xml:space="preserve"> </w:t>
      </w:r>
      <w:r>
        <w:t xml:space="preserve">“</w:t>
      </w:r>
      <w:r>
        <w:t xml:space="preserve">manufacturers need clear understanding of this term to comply with Covered List limitations.</w:t>
      </w:r>
      <w:r>
        <w:t xml:space="preserve">”</w:t>
      </w:r>
      <w:r>
        <w:t xml:space="preserve"> </w:t>
      </w:r>
      <w:r>
        <w:t xml:space="preserve">CTA-TIA Petition at 3.</w:t>
      </w:r>
    </w:p>
    <w:p>
      <w:pPr>
        <w:pStyle w:val="BodyText"/>
      </w:pPr>
      <w:r>
        <w:rPr>
          <w:b/>
        </w:rPr>
        <w:t xml:space="preserve">TIA Reply</w:t>
      </w:r>
      <w:r>
        <w:t xml:space="preserve"> </w:t>
      </w:r>
      <w:r>
        <w:t xml:space="preserve">reiterates this request, urging the Commission to</w:t>
      </w:r>
      <w:r>
        <w:t xml:space="preserve"> </w:t>
      </w:r>
      <w:r>
        <w:t xml:space="preserve">“</w:t>
      </w:r>
      <w:r>
        <w:t xml:space="preserve">reject calls in the record of this further rulemaking to expand the definition of the term</w:t>
      </w:r>
      <w:r>
        <w:t xml:space="preserve"> </w:t>
      </w:r>
      <w:r>
        <w:t xml:space="preserve">‘</w:t>
      </w:r>
      <w:r>
        <w:t xml:space="preserve">produced by</w:t>
      </w:r>
      <w:r>
        <w:t xml:space="preserve">’</w:t>
      </w:r>
      <w:r>
        <w:t xml:space="preserve">, which would only engender further complexity and confusion to the detriment of American innovation and competitiveness.</w:t>
      </w:r>
      <w:r>
        <w:t xml:space="preserve">”</w:t>
      </w:r>
      <w:r>
        <w:t xml:space="preserve"> </w:t>
      </w:r>
      <w:r>
        <w:t xml:space="preserve">TIA Reply at 4.</w:t>
      </w:r>
    </w:p>
    <w:p>
      <w:r>
        <w:pict>
          <v:rect style="width:0;height:1.5pt" o:hralign="center" o:hrstd="t" o:hr="t"/>
        </w:pict>
      </w:r>
    </w:p>
    <w:p>
      <w:pPr>
        <w:pStyle w:val="FirstParagraph"/>
      </w:pPr>
      <w:r>
        <w:rPr>
          <w:i/>
        </w:rPr>
        <w:t xml:space="preserve">End of Comment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Summary: Second Further Notice of Proposed Rulemaking, ET Docket No. 21-232</dc:title>
  <dc:creator/>
  <cp:keywords/>
  <dcterms:created xsi:type="dcterms:W3CDTF">2026-03-22T00:21:56Z</dcterms:created>
  <dcterms:modified xsi:type="dcterms:W3CDTF">2026-03-22T00:21:56Z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March 21, 2026</vt:lpwstr>
  </property>
  <property fmtid="{D5CDD505-2E9C-101B-9397-08002B2CF9AE}" pid="3" name="subtitle">
    <vt:lpwstr>Protecting Against National Security Threats to the Communications Supply Chain Through the Equipment Authorization Program</vt:lpwstr>
  </property>
</Properties>
</file>